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AD" w:rsidRPr="00A51B99" w:rsidRDefault="00332EAD" w:rsidP="00332EAD">
      <w:pPr>
        <w:spacing w:beforeLines="50" w:afterLines="50" w:line="360" w:lineRule="auto"/>
        <w:jc w:val="center"/>
        <w:rPr>
          <w:rFonts w:eastAsia="黑体"/>
          <w:b/>
          <w:color w:val="000000"/>
          <w:kern w:val="0"/>
          <w:sz w:val="28"/>
        </w:rPr>
      </w:pPr>
    </w:p>
    <w:p w:rsidR="00332EAD" w:rsidRPr="00A51B99" w:rsidRDefault="00332EAD" w:rsidP="00332EAD">
      <w:pPr>
        <w:autoSpaceDE w:val="0"/>
        <w:autoSpaceDN w:val="0"/>
        <w:adjustRightInd w:val="0"/>
        <w:spacing w:beforeLines="50" w:afterLines="50" w:line="360" w:lineRule="auto"/>
        <w:jc w:val="center"/>
        <w:rPr>
          <w:rFonts w:eastAsia="黑体"/>
          <w:b/>
          <w:color w:val="000000"/>
          <w:kern w:val="0"/>
          <w:sz w:val="28"/>
        </w:rPr>
      </w:pPr>
      <w:bookmarkStart w:id="0" w:name="OLE_LINK2"/>
      <w:bookmarkStart w:id="1" w:name="OLE_LINK3"/>
      <w:r w:rsidRPr="00A51B99">
        <w:rPr>
          <w:rFonts w:eastAsia="黑体"/>
          <w:b/>
          <w:color w:val="000000"/>
          <w:kern w:val="0"/>
          <w:sz w:val="28"/>
        </w:rPr>
        <w:t>附件</w:t>
      </w:r>
      <w:r w:rsidRPr="00A51B99">
        <w:rPr>
          <w:rFonts w:eastAsia="黑体"/>
          <w:b/>
          <w:color w:val="000000"/>
          <w:kern w:val="0"/>
          <w:sz w:val="28"/>
        </w:rPr>
        <w:t>2</w:t>
      </w:r>
      <w:r w:rsidRPr="00A51B99">
        <w:rPr>
          <w:rFonts w:eastAsia="黑体"/>
          <w:b/>
          <w:color w:val="000000"/>
          <w:kern w:val="0"/>
          <w:sz w:val="28"/>
        </w:rPr>
        <w:t>：会议论文投稿说明</w:t>
      </w:r>
    </w:p>
    <w:bookmarkEnd w:id="0"/>
    <w:bookmarkEnd w:id="1"/>
    <w:p w:rsidR="00332EAD" w:rsidRPr="00A51B99" w:rsidRDefault="00332EAD" w:rsidP="00332EAD">
      <w:pPr>
        <w:pStyle w:val="Default"/>
        <w:spacing w:line="276" w:lineRule="auto"/>
        <w:jc w:val="center"/>
        <w:rPr>
          <w:b/>
        </w:rPr>
      </w:pPr>
      <w:r w:rsidRPr="00A51B99">
        <w:rPr>
          <w:b/>
          <w:bCs/>
        </w:rPr>
        <w:t>The 6th International Symposium on Dairy Cow Nutrition and Milk Quality</w:t>
      </w:r>
    </w:p>
    <w:p w:rsidR="00332EAD" w:rsidRPr="00A51B99" w:rsidRDefault="00332EAD" w:rsidP="00332EAD">
      <w:pPr>
        <w:autoSpaceDE w:val="0"/>
        <w:autoSpaceDN w:val="0"/>
        <w:adjustRightInd w:val="0"/>
        <w:spacing w:beforeLines="50" w:afterLines="50" w:line="360" w:lineRule="auto"/>
        <w:ind w:firstLineChars="200" w:firstLine="480"/>
        <w:rPr>
          <w:color w:val="000000"/>
          <w:kern w:val="0"/>
          <w:sz w:val="24"/>
        </w:rPr>
      </w:pPr>
    </w:p>
    <w:p w:rsidR="00332EAD" w:rsidRPr="00A51B99" w:rsidRDefault="00332EAD" w:rsidP="00332EAD">
      <w:pPr>
        <w:pStyle w:val="Default"/>
        <w:spacing w:line="276" w:lineRule="auto"/>
        <w:jc w:val="center"/>
        <w:rPr>
          <w:b/>
          <w:sz w:val="32"/>
        </w:rPr>
      </w:pPr>
      <w:r w:rsidRPr="00A51B99">
        <w:rPr>
          <w:b/>
          <w:bCs/>
          <w:sz w:val="32"/>
        </w:rPr>
        <w:t>Instructions to Submit Short Communications</w:t>
      </w:r>
    </w:p>
    <w:p w:rsidR="00332EAD" w:rsidRPr="00A51B99" w:rsidRDefault="00332EAD" w:rsidP="00332EAD">
      <w:pPr>
        <w:pStyle w:val="Default"/>
        <w:spacing w:line="276" w:lineRule="auto"/>
        <w:rPr>
          <w:bCs/>
        </w:rPr>
      </w:pPr>
    </w:p>
    <w:p w:rsidR="00332EAD" w:rsidRPr="00A51B99" w:rsidRDefault="00332EAD" w:rsidP="00332EAD">
      <w:pPr>
        <w:pStyle w:val="Default"/>
        <w:spacing w:line="276" w:lineRule="auto"/>
        <w:rPr>
          <w:rFonts w:hint="eastAsia"/>
          <w:b/>
        </w:rPr>
      </w:pPr>
    </w:p>
    <w:p w:rsidR="00332EAD" w:rsidRPr="00A51B99" w:rsidRDefault="00332EAD" w:rsidP="00332EAD">
      <w:pPr>
        <w:pStyle w:val="Default"/>
        <w:spacing w:line="276" w:lineRule="auto"/>
        <w:jc w:val="center"/>
        <w:rPr>
          <w:b/>
        </w:rPr>
      </w:pPr>
      <w:r w:rsidRPr="00A51B99">
        <w:rPr>
          <w:b/>
        </w:rPr>
        <w:t>May 3-5, 2019, Beijing, China</w:t>
      </w:r>
    </w:p>
    <w:p w:rsidR="00332EAD" w:rsidRPr="00A51B99" w:rsidRDefault="00332EAD" w:rsidP="00332EAD">
      <w:pPr>
        <w:pStyle w:val="Default"/>
        <w:spacing w:line="276" w:lineRule="auto"/>
        <w:jc w:val="center"/>
        <w:rPr>
          <w:b/>
          <w:bCs/>
        </w:rPr>
      </w:pPr>
      <w:r w:rsidRPr="00A51B99">
        <w:rPr>
          <w:b/>
          <w:bCs/>
        </w:rPr>
        <w:t>Deadline: March 25, 2019</w:t>
      </w:r>
    </w:p>
    <w:p w:rsidR="00332EAD" w:rsidRPr="00A51B99" w:rsidRDefault="00332EAD" w:rsidP="00332EAD">
      <w:pPr>
        <w:pStyle w:val="Default"/>
        <w:spacing w:line="276" w:lineRule="auto"/>
        <w:jc w:val="center"/>
        <w:rPr>
          <w:b/>
        </w:rPr>
      </w:pPr>
    </w:p>
    <w:p w:rsidR="00332EAD" w:rsidRPr="00A51B99" w:rsidRDefault="00332EAD" w:rsidP="00332EAD">
      <w:pPr>
        <w:pStyle w:val="Default"/>
        <w:spacing w:line="276" w:lineRule="auto"/>
        <w:jc w:val="center"/>
        <w:rPr>
          <w:b/>
        </w:rPr>
      </w:pPr>
      <w:r w:rsidRPr="00A51B99">
        <w:rPr>
          <w:b/>
          <w:bCs/>
        </w:rPr>
        <w:t xml:space="preserve">Submissions send to: </w:t>
      </w:r>
      <w:r w:rsidRPr="00A51B99">
        <w:rPr>
          <w:b/>
          <w:color w:val="0000FF"/>
        </w:rPr>
        <w:t>jiaqiwang@vip.163.com</w:t>
      </w:r>
    </w:p>
    <w:p w:rsidR="00332EAD" w:rsidRPr="00A51B99" w:rsidRDefault="00332EAD" w:rsidP="00332EAD">
      <w:pPr>
        <w:pStyle w:val="Default"/>
        <w:spacing w:line="276" w:lineRule="auto"/>
        <w:rPr>
          <w:b/>
        </w:rPr>
      </w:pPr>
    </w:p>
    <w:p w:rsidR="00332EAD" w:rsidRPr="00A51B99" w:rsidRDefault="00332EAD" w:rsidP="00332EAD">
      <w:pPr>
        <w:pStyle w:val="Default"/>
        <w:spacing w:line="360" w:lineRule="auto"/>
        <w:jc w:val="both"/>
        <w:rPr>
          <w:color w:val="auto"/>
          <w:kern w:val="2"/>
        </w:rPr>
      </w:pPr>
      <w:r w:rsidRPr="00A51B99">
        <w:rPr>
          <w:color w:val="auto"/>
          <w:kern w:val="2"/>
        </w:rPr>
        <w:t xml:space="preserve">Short communications are invited from graduate students to report their research. The Scientific Committee of the Symposium will review the manuscripts and those accepted will be presented as oral presentations in the Graduate Student Seminars. The entire submission should not exceed </w:t>
      </w:r>
      <w:r w:rsidRPr="00A51B99">
        <w:rPr>
          <w:color w:val="FF0000"/>
          <w:kern w:val="2"/>
        </w:rPr>
        <w:t>1000</w:t>
      </w:r>
      <w:r w:rsidRPr="00A51B99">
        <w:rPr>
          <w:color w:val="auto"/>
          <w:kern w:val="2"/>
        </w:rPr>
        <w:t xml:space="preserve"> words. The whole paper includes introduction, Materials and Methods, Results, Conclusion, and References. The Introduction should introduce only background information pertinent to the study and the objective(s). The Materials and Methods section primary describes the experimental design and major methods. The Results section should describe the main findings and brief interpretation of the results. Figures and tables are allowed in this section. Numeric results should be supported by proper statistical analysis and indicates in the figures or tables. The Conclusion section should report the main conclusion(s) and implication of the findings. Do not repeat the results. No more than 10 references can be cited in the communication and listed in the References section. Manuscripts should be prepared in Microsoft Words, typed in double-space. Please use Times New Roman font at 12 points. Special characters (e.g., Greek, math, symbols) should be inserted using the symbols palette available in this font.</w:t>
      </w:r>
    </w:p>
    <w:p w:rsidR="00332EAD" w:rsidRPr="00332EAD" w:rsidRDefault="00332EAD" w:rsidP="00332EAD">
      <w:pPr>
        <w:widowControl/>
        <w:jc w:val="left"/>
        <w:rPr>
          <w:kern w:val="0"/>
          <w:sz w:val="24"/>
        </w:rPr>
      </w:pPr>
    </w:p>
    <w:p w:rsidR="00332EAD" w:rsidRPr="00BB6E5E" w:rsidRDefault="00332EAD" w:rsidP="00332EAD">
      <w:pPr>
        <w:widowControl/>
        <w:jc w:val="left"/>
        <w:rPr>
          <w:b/>
          <w:bCs/>
          <w:color w:val="FF0000"/>
          <w:sz w:val="28"/>
          <w:szCs w:val="28"/>
        </w:rPr>
      </w:pPr>
      <w:r w:rsidRPr="00BB6E5E">
        <w:rPr>
          <w:b/>
          <w:bCs/>
          <w:color w:val="FF0000"/>
          <w:sz w:val="28"/>
          <w:szCs w:val="28"/>
        </w:rPr>
        <w:lastRenderedPageBreak/>
        <w:t>论文回执表：</w:t>
      </w:r>
      <w:r w:rsidRPr="00BB6E5E">
        <w:rPr>
          <w:b/>
          <w:bCs/>
          <w:color w:val="FF0000"/>
          <w:sz w:val="28"/>
          <w:szCs w:val="28"/>
        </w:rPr>
        <w:t>(</w:t>
      </w:r>
      <w:r w:rsidRPr="00BB6E5E">
        <w:rPr>
          <w:b/>
          <w:bCs/>
          <w:color w:val="FF0000"/>
          <w:sz w:val="28"/>
          <w:szCs w:val="28"/>
        </w:rPr>
        <w:t>请投稿时附在稿件中</w:t>
      </w:r>
      <w:r w:rsidRPr="00BB6E5E">
        <w:rPr>
          <w:b/>
          <w:bCs/>
          <w:color w:val="FF0000"/>
          <w:sz w:val="28"/>
          <w:szCs w:val="28"/>
        </w:rPr>
        <w:t>)</w:t>
      </w:r>
    </w:p>
    <w:p w:rsidR="00332EAD" w:rsidRPr="00A51B99" w:rsidRDefault="00332EAD" w:rsidP="00332EAD">
      <w:pPr>
        <w:widowControl/>
        <w:jc w:val="left"/>
        <w:rPr>
          <w:b/>
          <w:bCs/>
          <w:color w:val="FF0000"/>
          <w:szCs w:val="28"/>
        </w:rPr>
      </w:pP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969"/>
        <w:gridCol w:w="1403"/>
        <w:gridCol w:w="1185"/>
        <w:gridCol w:w="1078"/>
        <w:gridCol w:w="1642"/>
        <w:gridCol w:w="1330"/>
      </w:tblGrid>
      <w:tr w:rsidR="00332EAD" w:rsidRPr="00A51B99" w:rsidTr="000A5ED0">
        <w:trPr>
          <w:trHeight w:val="631"/>
        </w:trPr>
        <w:tc>
          <w:tcPr>
            <w:tcW w:w="943" w:type="dxa"/>
            <w:shd w:val="clear" w:color="auto" w:fill="auto"/>
          </w:tcPr>
          <w:p w:rsidR="00332EAD" w:rsidRPr="00A51B99" w:rsidRDefault="00332EAD" w:rsidP="000A5ED0">
            <w:pPr>
              <w:widowControl/>
              <w:jc w:val="left"/>
              <w:rPr>
                <w:b/>
                <w:bCs/>
                <w:szCs w:val="28"/>
              </w:rPr>
            </w:pPr>
            <w:r w:rsidRPr="00A51B99">
              <w:rPr>
                <w:b/>
                <w:bCs/>
                <w:szCs w:val="28"/>
              </w:rPr>
              <w:t>姓名</w:t>
            </w:r>
          </w:p>
        </w:tc>
        <w:tc>
          <w:tcPr>
            <w:tcW w:w="969" w:type="dxa"/>
            <w:shd w:val="clear" w:color="auto" w:fill="auto"/>
          </w:tcPr>
          <w:p w:rsidR="00332EAD" w:rsidRPr="00A51B99" w:rsidRDefault="00332EAD" w:rsidP="000A5ED0">
            <w:pPr>
              <w:widowControl/>
              <w:jc w:val="left"/>
              <w:rPr>
                <w:b/>
                <w:bCs/>
                <w:szCs w:val="28"/>
              </w:rPr>
            </w:pPr>
            <w:r w:rsidRPr="00A51B99">
              <w:rPr>
                <w:b/>
                <w:bCs/>
                <w:szCs w:val="28"/>
              </w:rPr>
              <w:t>在读学位</w:t>
            </w:r>
          </w:p>
        </w:tc>
        <w:tc>
          <w:tcPr>
            <w:tcW w:w="1403" w:type="dxa"/>
            <w:shd w:val="clear" w:color="auto" w:fill="auto"/>
          </w:tcPr>
          <w:p w:rsidR="00332EAD" w:rsidRPr="00A51B99" w:rsidRDefault="00332EAD" w:rsidP="000A5ED0">
            <w:pPr>
              <w:widowControl/>
              <w:jc w:val="left"/>
              <w:rPr>
                <w:b/>
                <w:bCs/>
                <w:szCs w:val="28"/>
              </w:rPr>
            </w:pPr>
            <w:r w:rsidRPr="00A51B99">
              <w:rPr>
                <w:b/>
                <w:bCs/>
                <w:szCs w:val="28"/>
              </w:rPr>
              <w:t>单位</w:t>
            </w:r>
          </w:p>
        </w:tc>
        <w:tc>
          <w:tcPr>
            <w:tcW w:w="1185" w:type="dxa"/>
            <w:shd w:val="clear" w:color="auto" w:fill="auto"/>
          </w:tcPr>
          <w:p w:rsidR="00332EAD" w:rsidRPr="00A51B99" w:rsidRDefault="00332EAD" w:rsidP="000A5ED0">
            <w:pPr>
              <w:widowControl/>
              <w:jc w:val="left"/>
              <w:rPr>
                <w:b/>
                <w:bCs/>
                <w:szCs w:val="28"/>
              </w:rPr>
            </w:pPr>
            <w:r w:rsidRPr="00A51B99">
              <w:rPr>
                <w:b/>
                <w:bCs/>
                <w:szCs w:val="28"/>
              </w:rPr>
              <w:t>导师</w:t>
            </w:r>
          </w:p>
        </w:tc>
        <w:tc>
          <w:tcPr>
            <w:tcW w:w="1078" w:type="dxa"/>
            <w:shd w:val="clear" w:color="auto" w:fill="auto"/>
          </w:tcPr>
          <w:p w:rsidR="00332EAD" w:rsidRPr="00A51B99" w:rsidRDefault="00332EAD" w:rsidP="000A5ED0">
            <w:pPr>
              <w:widowControl/>
              <w:jc w:val="left"/>
              <w:rPr>
                <w:b/>
                <w:bCs/>
                <w:szCs w:val="28"/>
              </w:rPr>
            </w:pPr>
            <w:r w:rsidRPr="00A51B99">
              <w:rPr>
                <w:b/>
                <w:bCs/>
                <w:szCs w:val="28"/>
              </w:rPr>
              <w:t>手机</w:t>
            </w:r>
          </w:p>
        </w:tc>
        <w:tc>
          <w:tcPr>
            <w:tcW w:w="1642" w:type="dxa"/>
            <w:shd w:val="clear" w:color="auto" w:fill="auto"/>
          </w:tcPr>
          <w:p w:rsidR="00332EAD" w:rsidRPr="00A51B99" w:rsidRDefault="00332EAD" w:rsidP="000A5ED0">
            <w:pPr>
              <w:widowControl/>
              <w:jc w:val="left"/>
              <w:rPr>
                <w:b/>
                <w:bCs/>
                <w:szCs w:val="28"/>
              </w:rPr>
            </w:pPr>
            <w:r w:rsidRPr="00A51B99">
              <w:rPr>
                <w:b/>
                <w:bCs/>
                <w:szCs w:val="28"/>
              </w:rPr>
              <w:t>电子邮箱</w:t>
            </w:r>
          </w:p>
        </w:tc>
        <w:tc>
          <w:tcPr>
            <w:tcW w:w="1330" w:type="dxa"/>
            <w:shd w:val="clear" w:color="auto" w:fill="auto"/>
          </w:tcPr>
          <w:p w:rsidR="00332EAD" w:rsidRPr="00A51B99" w:rsidRDefault="00332EAD" w:rsidP="000A5ED0">
            <w:pPr>
              <w:widowControl/>
              <w:jc w:val="left"/>
              <w:rPr>
                <w:b/>
                <w:bCs/>
                <w:szCs w:val="28"/>
              </w:rPr>
            </w:pPr>
            <w:r w:rsidRPr="00A51B99">
              <w:rPr>
                <w:b/>
                <w:bCs/>
                <w:szCs w:val="28"/>
              </w:rPr>
              <w:t>展示方式</w:t>
            </w:r>
          </w:p>
          <w:p w:rsidR="00332EAD" w:rsidRPr="00A51B99" w:rsidRDefault="00332EAD" w:rsidP="000A5ED0">
            <w:pPr>
              <w:widowControl/>
              <w:jc w:val="left"/>
              <w:rPr>
                <w:b/>
                <w:bCs/>
                <w:szCs w:val="28"/>
              </w:rPr>
            </w:pPr>
            <w:r w:rsidRPr="00A51B99">
              <w:rPr>
                <w:b/>
                <w:bCs/>
                <w:szCs w:val="28"/>
              </w:rPr>
              <w:t>（口头汇报、墙报、不展示）</w:t>
            </w:r>
          </w:p>
        </w:tc>
      </w:tr>
      <w:tr w:rsidR="00332EAD" w:rsidRPr="00A51B99" w:rsidTr="000A5ED0">
        <w:trPr>
          <w:trHeight w:val="1270"/>
        </w:trPr>
        <w:tc>
          <w:tcPr>
            <w:tcW w:w="943" w:type="dxa"/>
            <w:shd w:val="clear" w:color="auto" w:fill="auto"/>
          </w:tcPr>
          <w:p w:rsidR="00332EAD" w:rsidRPr="00A51B99" w:rsidRDefault="00332EAD" w:rsidP="000A5ED0">
            <w:pPr>
              <w:widowControl/>
              <w:jc w:val="left"/>
              <w:rPr>
                <w:b/>
                <w:bCs/>
                <w:szCs w:val="28"/>
              </w:rPr>
            </w:pPr>
          </w:p>
        </w:tc>
        <w:tc>
          <w:tcPr>
            <w:tcW w:w="969" w:type="dxa"/>
            <w:shd w:val="clear" w:color="auto" w:fill="auto"/>
          </w:tcPr>
          <w:p w:rsidR="00332EAD" w:rsidRPr="00A51B99" w:rsidRDefault="00332EAD" w:rsidP="000A5ED0">
            <w:pPr>
              <w:widowControl/>
              <w:jc w:val="left"/>
              <w:rPr>
                <w:b/>
                <w:bCs/>
                <w:szCs w:val="28"/>
              </w:rPr>
            </w:pPr>
          </w:p>
        </w:tc>
        <w:tc>
          <w:tcPr>
            <w:tcW w:w="1403" w:type="dxa"/>
            <w:shd w:val="clear" w:color="auto" w:fill="auto"/>
          </w:tcPr>
          <w:p w:rsidR="00332EAD" w:rsidRPr="00A51B99" w:rsidRDefault="00332EAD" w:rsidP="000A5ED0">
            <w:pPr>
              <w:widowControl/>
              <w:jc w:val="left"/>
              <w:rPr>
                <w:b/>
                <w:bCs/>
                <w:szCs w:val="28"/>
              </w:rPr>
            </w:pPr>
          </w:p>
        </w:tc>
        <w:tc>
          <w:tcPr>
            <w:tcW w:w="1185" w:type="dxa"/>
            <w:shd w:val="clear" w:color="auto" w:fill="auto"/>
          </w:tcPr>
          <w:p w:rsidR="00332EAD" w:rsidRPr="00A51B99" w:rsidRDefault="00332EAD" w:rsidP="000A5ED0">
            <w:pPr>
              <w:widowControl/>
              <w:jc w:val="left"/>
              <w:rPr>
                <w:b/>
                <w:bCs/>
                <w:szCs w:val="28"/>
              </w:rPr>
            </w:pPr>
          </w:p>
        </w:tc>
        <w:tc>
          <w:tcPr>
            <w:tcW w:w="1078" w:type="dxa"/>
            <w:shd w:val="clear" w:color="auto" w:fill="auto"/>
          </w:tcPr>
          <w:p w:rsidR="00332EAD" w:rsidRPr="00A51B99" w:rsidRDefault="00332EAD" w:rsidP="000A5ED0">
            <w:pPr>
              <w:widowControl/>
              <w:jc w:val="left"/>
              <w:rPr>
                <w:b/>
                <w:bCs/>
                <w:szCs w:val="28"/>
              </w:rPr>
            </w:pPr>
          </w:p>
        </w:tc>
        <w:tc>
          <w:tcPr>
            <w:tcW w:w="1642" w:type="dxa"/>
            <w:shd w:val="clear" w:color="auto" w:fill="auto"/>
          </w:tcPr>
          <w:p w:rsidR="00332EAD" w:rsidRPr="00A51B99" w:rsidRDefault="00332EAD" w:rsidP="000A5ED0">
            <w:pPr>
              <w:widowControl/>
              <w:jc w:val="left"/>
              <w:rPr>
                <w:b/>
                <w:bCs/>
                <w:szCs w:val="28"/>
              </w:rPr>
            </w:pPr>
          </w:p>
        </w:tc>
        <w:tc>
          <w:tcPr>
            <w:tcW w:w="1330" w:type="dxa"/>
            <w:shd w:val="clear" w:color="auto" w:fill="auto"/>
          </w:tcPr>
          <w:p w:rsidR="00332EAD" w:rsidRPr="00A51B99" w:rsidRDefault="00332EAD" w:rsidP="000A5ED0">
            <w:pPr>
              <w:widowControl/>
              <w:jc w:val="left"/>
              <w:rPr>
                <w:b/>
                <w:bCs/>
                <w:szCs w:val="28"/>
              </w:rPr>
            </w:pPr>
          </w:p>
        </w:tc>
      </w:tr>
    </w:tbl>
    <w:p w:rsidR="00332EAD" w:rsidRPr="00A51B99" w:rsidRDefault="00332EAD" w:rsidP="00332EAD">
      <w:pPr>
        <w:widowControl/>
        <w:jc w:val="left"/>
        <w:rPr>
          <w:b/>
          <w:bCs/>
          <w:szCs w:val="28"/>
        </w:rPr>
      </w:pPr>
    </w:p>
    <w:p w:rsidR="00332EAD" w:rsidRPr="00A51B99" w:rsidRDefault="00332EAD" w:rsidP="00332EAD">
      <w:pPr>
        <w:widowControl/>
        <w:jc w:val="left"/>
        <w:rPr>
          <w:b/>
          <w:bCs/>
          <w:szCs w:val="28"/>
        </w:rPr>
      </w:pPr>
    </w:p>
    <w:p w:rsidR="00332EAD" w:rsidRPr="00A51B99" w:rsidRDefault="00332EAD" w:rsidP="00332EAD">
      <w:pPr>
        <w:widowControl/>
        <w:jc w:val="left"/>
        <w:rPr>
          <w:b/>
          <w:bCs/>
          <w:color w:val="FF0000"/>
          <w:sz w:val="24"/>
        </w:rPr>
      </w:pPr>
      <w:r w:rsidRPr="00A51B99">
        <w:rPr>
          <w:b/>
          <w:bCs/>
          <w:color w:val="FF0000"/>
          <w:sz w:val="24"/>
        </w:rPr>
        <w:t>样文格式：</w:t>
      </w:r>
    </w:p>
    <w:p w:rsidR="00332EAD" w:rsidRPr="00A51B99" w:rsidRDefault="00332EAD" w:rsidP="00332EAD">
      <w:pPr>
        <w:widowControl/>
        <w:jc w:val="left"/>
        <w:rPr>
          <w:b/>
          <w:bCs/>
          <w:color w:val="FF0000"/>
          <w:sz w:val="24"/>
        </w:rPr>
      </w:pPr>
    </w:p>
    <w:p w:rsidR="00332EAD" w:rsidRPr="00A51B99" w:rsidRDefault="00332EAD" w:rsidP="00332EAD">
      <w:pPr>
        <w:spacing w:line="276" w:lineRule="auto"/>
        <w:jc w:val="center"/>
        <w:outlineLvl w:val="1"/>
        <w:rPr>
          <w:b/>
          <w:sz w:val="24"/>
        </w:rPr>
      </w:pPr>
      <w:bookmarkStart w:id="2" w:name="_Toc355193394"/>
      <w:r w:rsidRPr="00A51B99">
        <w:rPr>
          <w:b/>
          <w:sz w:val="24"/>
        </w:rPr>
        <w:t>Response of milk fatty acid profile to different forage sources in diets</w:t>
      </w:r>
      <w:bookmarkEnd w:id="2"/>
    </w:p>
    <w:p w:rsidR="00332EAD" w:rsidRPr="00A51B99" w:rsidRDefault="00332EAD" w:rsidP="00332EAD">
      <w:pPr>
        <w:spacing w:line="276" w:lineRule="auto"/>
        <w:jc w:val="center"/>
        <w:rPr>
          <w:i/>
          <w:sz w:val="24"/>
        </w:rPr>
      </w:pPr>
    </w:p>
    <w:p w:rsidR="00332EAD" w:rsidRPr="00A51B99" w:rsidRDefault="00332EAD" w:rsidP="00332EAD">
      <w:pPr>
        <w:spacing w:line="276" w:lineRule="auto"/>
        <w:jc w:val="center"/>
        <w:outlineLvl w:val="0"/>
        <w:rPr>
          <w:i/>
          <w:sz w:val="24"/>
        </w:rPr>
      </w:pPr>
      <w:r w:rsidRPr="00A51B99">
        <w:rPr>
          <w:i/>
          <w:sz w:val="24"/>
        </w:rPr>
        <w:t>M. Zhao, D.P. Bu, Y.D. Zhang, X.Q. Zhou, P. Zhang. Y.J. Xu and J.Q. Wang*</w:t>
      </w:r>
    </w:p>
    <w:p w:rsidR="00332EAD" w:rsidRPr="00A51B99" w:rsidRDefault="00332EAD" w:rsidP="00332EAD">
      <w:pPr>
        <w:spacing w:line="276" w:lineRule="auto"/>
        <w:jc w:val="center"/>
        <w:rPr>
          <w:i/>
          <w:sz w:val="24"/>
        </w:rPr>
      </w:pPr>
      <w:r w:rsidRPr="00A51B99">
        <w:rPr>
          <w:i/>
          <w:sz w:val="24"/>
        </w:rPr>
        <w:t>State Key Laboratory of Animal Nutrition, Institute of Animal Science, Chinese Academy of Agricultural Sciences, Beijing, 100193, P.R. China</w:t>
      </w:r>
    </w:p>
    <w:p w:rsidR="00332EAD" w:rsidRPr="00A51B99" w:rsidRDefault="00332EAD" w:rsidP="00332EAD">
      <w:pPr>
        <w:spacing w:line="276" w:lineRule="auto"/>
        <w:jc w:val="center"/>
        <w:rPr>
          <w:i/>
          <w:sz w:val="24"/>
        </w:rPr>
      </w:pPr>
      <w:r w:rsidRPr="00A51B99">
        <w:rPr>
          <w:i/>
          <w:sz w:val="24"/>
        </w:rPr>
        <w:t xml:space="preserve">*Correspondence: </w:t>
      </w:r>
      <w:hyperlink r:id="rId4" w:history="1">
        <w:r w:rsidRPr="00A51B99">
          <w:rPr>
            <w:rStyle w:val="a3"/>
            <w:i/>
          </w:rPr>
          <w:t>wang-jia-qi@263.net</w:t>
        </w:r>
      </w:hyperlink>
    </w:p>
    <w:p w:rsidR="00332EAD" w:rsidRPr="00A51B99" w:rsidRDefault="00332EAD" w:rsidP="00332EAD">
      <w:pPr>
        <w:spacing w:line="276" w:lineRule="auto"/>
        <w:jc w:val="center"/>
        <w:rPr>
          <w:i/>
          <w:sz w:val="24"/>
        </w:rPr>
      </w:pPr>
    </w:p>
    <w:p w:rsidR="00332EAD" w:rsidRPr="00A51B99" w:rsidRDefault="00332EAD" w:rsidP="00332EAD">
      <w:pPr>
        <w:spacing w:beforeLines="50" w:afterLines="50" w:line="276" w:lineRule="auto"/>
        <w:outlineLvl w:val="0"/>
        <w:rPr>
          <w:b/>
          <w:sz w:val="24"/>
        </w:rPr>
      </w:pPr>
      <w:r w:rsidRPr="00A51B99">
        <w:rPr>
          <w:b/>
          <w:sz w:val="24"/>
        </w:rPr>
        <w:t>Introduction</w:t>
      </w:r>
    </w:p>
    <w:p w:rsidR="00332EAD" w:rsidRPr="00A51B99" w:rsidRDefault="00332EAD" w:rsidP="00332EAD">
      <w:pPr>
        <w:autoSpaceDE w:val="0"/>
        <w:autoSpaceDN w:val="0"/>
        <w:adjustRightInd w:val="0"/>
        <w:spacing w:line="276" w:lineRule="auto"/>
        <w:ind w:firstLineChars="100" w:firstLine="240"/>
        <w:rPr>
          <w:rFonts w:eastAsia="ComputerModern-Regular"/>
          <w:kern w:val="0"/>
          <w:sz w:val="24"/>
        </w:rPr>
      </w:pPr>
      <w:r w:rsidRPr="00A51B99">
        <w:rPr>
          <w:rFonts w:eastAsia="ComputerModern-Regular"/>
          <w:kern w:val="0"/>
          <w:sz w:val="24"/>
        </w:rPr>
        <w:t>The profile of fatty acids (FA) is one of the most important indicators to evaluate the dairy milk nutritional value, which lies in the content and form of unsaturated fatty acids (Bauman et al., 2010). Due to the large amount of unsaturated fatty acid (UFA), dairy milk fat is benefit for human health by preventing many illnesses including cardiopathy and carcinogenesis</w:t>
      </w:r>
      <w:r w:rsidRPr="00A51B99">
        <w:rPr>
          <w:rFonts w:eastAsia="ComputerModern-Regular"/>
          <w:kern w:val="0"/>
          <w:sz w:val="24"/>
        </w:rPr>
        <w:t>（</w:t>
      </w:r>
      <w:r w:rsidRPr="00A51B99">
        <w:rPr>
          <w:rFonts w:eastAsia="ComputerModern-Regular"/>
          <w:kern w:val="0"/>
          <w:sz w:val="24"/>
        </w:rPr>
        <w:t>Bauman et al., 2010; Elwood et al., 2010).Therefore, the manipulation of milk FA profile has been the focus of extensive research in recent years.The profile of milk FA is determined by many factors, while the forage type is a key influencing factor. (</w:t>
      </w:r>
      <w:r w:rsidRPr="00A51B99">
        <w:rPr>
          <w:sz w:val="24"/>
        </w:rPr>
        <w:t>Benchaar</w:t>
      </w:r>
      <w:r w:rsidRPr="00A51B99">
        <w:rPr>
          <w:rFonts w:eastAsia="ComputerModern-Regular"/>
          <w:kern w:val="0"/>
          <w:sz w:val="24"/>
        </w:rPr>
        <w:t>et al., 2007;</w:t>
      </w:r>
      <w:r w:rsidRPr="00A51B99">
        <w:rPr>
          <w:sz w:val="24"/>
        </w:rPr>
        <w:t>Shingfield</w:t>
      </w:r>
      <w:r w:rsidRPr="00A51B99">
        <w:rPr>
          <w:rFonts w:eastAsia="ComputerModern-Regular"/>
          <w:kern w:val="0"/>
          <w:sz w:val="24"/>
        </w:rPr>
        <w:t>et al., 2005;</w:t>
      </w:r>
      <w:r w:rsidRPr="00A51B99">
        <w:rPr>
          <w:sz w:val="24"/>
        </w:rPr>
        <w:t>Khorasani</w:t>
      </w:r>
      <w:r w:rsidRPr="00A51B99">
        <w:rPr>
          <w:rFonts w:eastAsia="ComputerModern-Regular"/>
          <w:kern w:val="0"/>
          <w:sz w:val="24"/>
        </w:rPr>
        <w:t>et al., 2001).The purpose of this study was to evaluate the response of milk fatty acid profile to diets with different forage sources.</w:t>
      </w:r>
    </w:p>
    <w:p w:rsidR="00332EAD" w:rsidRPr="00A51B99" w:rsidRDefault="00332EAD" w:rsidP="00332EAD">
      <w:pPr>
        <w:spacing w:beforeLines="50" w:afterLines="50" w:line="276" w:lineRule="auto"/>
        <w:outlineLvl w:val="0"/>
        <w:rPr>
          <w:b/>
          <w:sz w:val="24"/>
        </w:rPr>
      </w:pPr>
      <w:r w:rsidRPr="00A51B99">
        <w:rPr>
          <w:b/>
          <w:sz w:val="24"/>
        </w:rPr>
        <w:t>Materials and methods</w:t>
      </w:r>
    </w:p>
    <w:p w:rsidR="00332EAD" w:rsidRPr="00A51B99" w:rsidRDefault="00332EAD" w:rsidP="00332EAD">
      <w:pPr>
        <w:autoSpaceDE w:val="0"/>
        <w:autoSpaceDN w:val="0"/>
        <w:adjustRightInd w:val="0"/>
        <w:spacing w:line="276" w:lineRule="auto"/>
        <w:ind w:firstLineChars="100" w:firstLine="240"/>
        <w:rPr>
          <w:rFonts w:eastAsia="ComputerModern-Regular"/>
          <w:kern w:val="0"/>
          <w:sz w:val="24"/>
        </w:rPr>
      </w:pPr>
      <w:r w:rsidRPr="00A51B99">
        <w:rPr>
          <w:rFonts w:eastAsia="ComputerModern-Regular"/>
          <w:kern w:val="0"/>
          <w:sz w:val="24"/>
        </w:rPr>
        <w:t xml:space="preserve">Thirty-two primiparous Holstein dairy cows with similar production performance (55±15 DIM and 33.22±4.57 kg of milk/d) were divided into 2 groups randomly according to the forage sources (MF group, alfalfa and corn silage; CS group, corn </w:t>
      </w:r>
      <w:r w:rsidRPr="00A51B99">
        <w:rPr>
          <w:rFonts w:eastAsia="ComputerModern-Regular"/>
          <w:kern w:val="0"/>
          <w:sz w:val="24"/>
        </w:rPr>
        <w:lastRenderedPageBreak/>
        <w:t>straw). The basal diets in two groups were the same</w:t>
      </w:r>
      <w:r w:rsidRPr="00A51B99">
        <w:rPr>
          <w:rFonts w:eastAsia="ComputerModern-Regular"/>
          <w:kern w:val="0"/>
          <w:sz w:val="24"/>
        </w:rPr>
        <w:t>（</w:t>
      </w:r>
      <w:r w:rsidRPr="00A51B99">
        <w:rPr>
          <w:rFonts w:eastAsia="ComputerModern-Regular"/>
          <w:kern w:val="0"/>
          <w:sz w:val="24"/>
        </w:rPr>
        <w:t>F:C=65:35, DM basis</w:t>
      </w:r>
      <w:r w:rsidRPr="00A51B99">
        <w:rPr>
          <w:rFonts w:eastAsia="ComputerModern-Regular"/>
          <w:kern w:val="0"/>
          <w:sz w:val="24"/>
        </w:rPr>
        <w:t>）</w:t>
      </w:r>
      <w:r w:rsidRPr="00A51B99">
        <w:rPr>
          <w:rFonts w:eastAsia="ComputerModern-Regular"/>
          <w:kern w:val="0"/>
          <w:sz w:val="24"/>
        </w:rPr>
        <w:t xml:space="preserve">.Basal diets were formulated to meet the nutrient requirement of cows producing 32 kg of 3.5% FCM/d according to the Feeding Standards of Dairy Cattle, China NongYe HangYe Boaozhun/Tuijian-34 (China, NY/t34, 2004). Cows were gradually adjusted to the experimental diets in a 14-d period. The duration of the experiment was 91-d.Cows were fed total mixed ration(TMR) using automatic feeding system. Animal health condition and milk yieldwas monitored and recorded each day during the whole experimental period. Dry matter(DM) contentof TMR and orts were collected weekly and milk samples were collected every other day. Milk fatty acids were analyzed by Gas Chromatography </w:t>
      </w:r>
      <w:r w:rsidRPr="00A51B99">
        <w:rPr>
          <w:sz w:val="24"/>
        </w:rPr>
        <w:t>(Agilent Technologies, Hewlett Packard Co., Avondale, PA) fitted with a flame-ionization detector(Khas-Erdene et al., 2010).</w:t>
      </w:r>
    </w:p>
    <w:p w:rsidR="00332EAD" w:rsidRPr="00A51B99" w:rsidRDefault="00332EAD" w:rsidP="00332EAD">
      <w:pPr>
        <w:autoSpaceDE w:val="0"/>
        <w:autoSpaceDN w:val="0"/>
        <w:adjustRightInd w:val="0"/>
        <w:spacing w:line="276" w:lineRule="auto"/>
        <w:ind w:firstLineChars="100" w:firstLine="240"/>
        <w:rPr>
          <w:rFonts w:eastAsia="ComputerModern-Regular"/>
          <w:kern w:val="0"/>
          <w:sz w:val="24"/>
        </w:rPr>
      </w:pPr>
      <w:r w:rsidRPr="00A51B99">
        <w:rPr>
          <w:rFonts w:eastAsia="ComputerModern-Regular"/>
          <w:kern w:val="0"/>
          <w:sz w:val="24"/>
        </w:rPr>
        <w:t xml:space="preserve">Data were analyzed using GLM model of SAS 9.1. Significance level was declared at </w:t>
      </w:r>
      <w:r w:rsidRPr="00A51B99">
        <w:rPr>
          <w:rFonts w:eastAsia="ComputerModern-Regular"/>
          <w:i/>
          <w:kern w:val="0"/>
          <w:sz w:val="24"/>
        </w:rPr>
        <w:t>P</w:t>
      </w:r>
      <w:r w:rsidRPr="00A51B99">
        <w:rPr>
          <w:rFonts w:eastAsia="ComputerModern-Regular"/>
          <w:kern w:val="0"/>
          <w:sz w:val="24"/>
        </w:rPr>
        <w:t>&lt;0.01.</w:t>
      </w:r>
    </w:p>
    <w:p w:rsidR="00332EAD" w:rsidRPr="00A51B99" w:rsidRDefault="00332EAD" w:rsidP="00332EAD">
      <w:pPr>
        <w:spacing w:beforeLines="50" w:afterLines="50" w:line="276" w:lineRule="auto"/>
        <w:outlineLvl w:val="0"/>
        <w:rPr>
          <w:b/>
          <w:sz w:val="24"/>
        </w:rPr>
      </w:pPr>
      <w:r w:rsidRPr="00A51B99">
        <w:rPr>
          <w:b/>
          <w:sz w:val="24"/>
        </w:rPr>
        <w:t>Results</w:t>
      </w:r>
    </w:p>
    <w:p w:rsidR="00332EAD" w:rsidRPr="00A51B99" w:rsidRDefault="00332EAD" w:rsidP="00332EAD">
      <w:pPr>
        <w:spacing w:line="276" w:lineRule="auto"/>
        <w:ind w:firstLineChars="200" w:firstLine="480"/>
        <w:rPr>
          <w:sz w:val="24"/>
          <w:highlight w:val="yellow"/>
        </w:rPr>
      </w:pPr>
      <w:r w:rsidRPr="00A51B99">
        <w:rPr>
          <w:sz w:val="24"/>
        </w:rPr>
        <w:t>The resultsrevealed that different forage sources had significant effect on the dry matter intake (DMI), milk yield, milk fat yield, milk protein percentage and milk protein yield between two groups</w:t>
      </w:r>
      <w:r w:rsidRPr="00A51B99">
        <w:rPr>
          <w:i/>
          <w:sz w:val="24"/>
        </w:rPr>
        <w:t>(P</w:t>
      </w:r>
      <w:r w:rsidRPr="00A51B99">
        <w:rPr>
          <w:sz w:val="24"/>
        </w:rPr>
        <w:t>&lt;0.01</w:t>
      </w:r>
      <w:r w:rsidRPr="00A51B99">
        <w:rPr>
          <w:i/>
          <w:sz w:val="24"/>
        </w:rPr>
        <w:t>)</w:t>
      </w:r>
      <w:r w:rsidRPr="00A51B99">
        <w:rPr>
          <w:sz w:val="24"/>
        </w:rPr>
        <w:t xml:space="preserve">(Table 1). </w:t>
      </w:r>
    </w:p>
    <w:p w:rsidR="00332EAD" w:rsidRPr="00A51B99" w:rsidRDefault="00332EAD" w:rsidP="00332EAD">
      <w:pPr>
        <w:spacing w:line="276" w:lineRule="auto"/>
        <w:ind w:firstLineChars="150" w:firstLine="360"/>
        <w:rPr>
          <w:sz w:val="24"/>
        </w:rPr>
      </w:pPr>
      <w:r w:rsidRPr="00A51B99">
        <w:rPr>
          <w:sz w:val="24"/>
        </w:rPr>
        <w:t>Compared with group CS, the profile of milk fatty acids revealed that group MF had higher proportion of saturated fatty acid(SFA) and short and medium chain fatty acid(SMCFA) (</w:t>
      </w:r>
      <w:r w:rsidRPr="00A51B99">
        <w:rPr>
          <w:i/>
          <w:sz w:val="24"/>
        </w:rPr>
        <w:t>P</w:t>
      </w:r>
      <w:r w:rsidRPr="00A51B99">
        <w:rPr>
          <w:sz w:val="24"/>
        </w:rPr>
        <w:t>&lt;0.01). The proportion of unsaturated fatty acid(UFA) and monounsaturated fatty acid(MUFA) of group CS is higher than group MF(</w:t>
      </w:r>
      <w:r w:rsidRPr="00A51B99">
        <w:rPr>
          <w:i/>
          <w:sz w:val="24"/>
        </w:rPr>
        <w:t>P</w:t>
      </w:r>
      <w:r w:rsidRPr="00A51B99">
        <w:rPr>
          <w:sz w:val="24"/>
        </w:rPr>
        <w:t>&lt;0.01).(Table 2)</w:t>
      </w:r>
    </w:p>
    <w:p w:rsidR="00332EAD" w:rsidRPr="00A51B99" w:rsidRDefault="00332EAD" w:rsidP="00332EAD">
      <w:pPr>
        <w:spacing w:line="276" w:lineRule="auto"/>
        <w:jc w:val="center"/>
        <w:outlineLvl w:val="0"/>
        <w:rPr>
          <w:i/>
          <w:sz w:val="24"/>
        </w:rPr>
      </w:pPr>
      <w:r w:rsidRPr="00A51B99">
        <w:rPr>
          <w:i/>
          <w:sz w:val="24"/>
        </w:rPr>
        <w:t>Table 1. Effect of different forages on milk composition</w:t>
      </w:r>
    </w:p>
    <w:tbl>
      <w:tblPr>
        <w:tblW w:w="5063" w:type="pct"/>
        <w:tblBorders>
          <w:top w:val="single" w:sz="12" w:space="0" w:color="000000"/>
          <w:bottom w:val="single" w:sz="12" w:space="0" w:color="000000"/>
        </w:tblBorders>
        <w:tblLook w:val="04A0"/>
      </w:tblPr>
      <w:tblGrid>
        <w:gridCol w:w="3650"/>
        <w:gridCol w:w="1410"/>
        <w:gridCol w:w="1118"/>
        <w:gridCol w:w="818"/>
        <w:gridCol w:w="1633"/>
      </w:tblGrid>
      <w:tr w:rsidR="00332EAD" w:rsidRPr="00A51B99" w:rsidTr="000A5ED0">
        <w:tc>
          <w:tcPr>
            <w:tcW w:w="2115" w:type="pct"/>
            <w:vMerge w:val="restart"/>
            <w:tcBorders>
              <w:top w:val="single" w:sz="12" w:space="0" w:color="000000"/>
              <w:left w:val="nil"/>
              <w:bottom w:val="single" w:sz="6" w:space="0" w:color="000000"/>
              <w:right w:val="nil"/>
            </w:tcBorders>
            <w:vAlign w:val="center"/>
          </w:tcPr>
          <w:p w:rsidR="00332EAD" w:rsidRPr="00A51B99" w:rsidRDefault="00332EAD" w:rsidP="000A5ED0">
            <w:pPr>
              <w:spacing w:line="276" w:lineRule="auto"/>
              <w:jc w:val="center"/>
              <w:rPr>
                <w:sz w:val="24"/>
              </w:rPr>
            </w:pPr>
            <w:r w:rsidRPr="00A51B99">
              <w:rPr>
                <w:sz w:val="24"/>
              </w:rPr>
              <w:t>Item</w:t>
            </w:r>
          </w:p>
        </w:tc>
        <w:tc>
          <w:tcPr>
            <w:tcW w:w="1465" w:type="pct"/>
            <w:gridSpan w:val="2"/>
            <w:tcBorders>
              <w:top w:val="single" w:sz="12" w:space="0" w:color="000000"/>
              <w:left w:val="nil"/>
              <w:bottom w:val="single" w:sz="6" w:space="0" w:color="000000"/>
              <w:right w:val="nil"/>
            </w:tcBorders>
            <w:vAlign w:val="center"/>
          </w:tcPr>
          <w:p w:rsidR="00332EAD" w:rsidRPr="00A51B99" w:rsidRDefault="00332EAD" w:rsidP="000A5ED0">
            <w:pPr>
              <w:spacing w:line="276" w:lineRule="auto"/>
              <w:jc w:val="center"/>
              <w:rPr>
                <w:sz w:val="24"/>
              </w:rPr>
            </w:pPr>
            <w:r w:rsidRPr="00A51B99">
              <w:rPr>
                <w:sz w:val="24"/>
              </w:rPr>
              <w:t>Treatment</w:t>
            </w:r>
            <w:r w:rsidRPr="00A51B99">
              <w:rPr>
                <w:sz w:val="24"/>
                <w:vertAlign w:val="superscript"/>
              </w:rPr>
              <w:t>1</w:t>
            </w:r>
          </w:p>
        </w:tc>
        <w:tc>
          <w:tcPr>
            <w:tcW w:w="474" w:type="pct"/>
            <w:vMerge w:val="restart"/>
            <w:tcBorders>
              <w:top w:val="single" w:sz="12" w:space="0" w:color="000000"/>
              <w:left w:val="nil"/>
              <w:bottom w:val="single" w:sz="6" w:space="0" w:color="000000"/>
              <w:right w:val="nil"/>
            </w:tcBorders>
            <w:vAlign w:val="center"/>
          </w:tcPr>
          <w:p w:rsidR="00332EAD" w:rsidRPr="00A51B99" w:rsidRDefault="00332EAD" w:rsidP="000A5ED0">
            <w:pPr>
              <w:spacing w:line="276" w:lineRule="auto"/>
              <w:jc w:val="center"/>
              <w:rPr>
                <w:sz w:val="24"/>
              </w:rPr>
            </w:pPr>
            <w:r w:rsidRPr="00A51B99">
              <w:rPr>
                <w:sz w:val="24"/>
              </w:rPr>
              <w:t>SEM</w:t>
            </w:r>
            <w:r w:rsidRPr="00A51B99">
              <w:rPr>
                <w:sz w:val="24"/>
                <w:vertAlign w:val="superscript"/>
              </w:rPr>
              <w:t>3</w:t>
            </w:r>
          </w:p>
        </w:tc>
        <w:tc>
          <w:tcPr>
            <w:tcW w:w="946" w:type="pct"/>
            <w:vMerge w:val="restart"/>
            <w:tcBorders>
              <w:top w:val="single" w:sz="12" w:space="0" w:color="000000"/>
              <w:left w:val="nil"/>
              <w:bottom w:val="single" w:sz="6" w:space="0" w:color="000000"/>
              <w:right w:val="nil"/>
            </w:tcBorders>
            <w:vAlign w:val="center"/>
          </w:tcPr>
          <w:p w:rsidR="00332EAD" w:rsidRPr="00A51B99" w:rsidRDefault="00332EAD" w:rsidP="000A5ED0">
            <w:pPr>
              <w:spacing w:line="276" w:lineRule="auto"/>
              <w:jc w:val="center"/>
              <w:rPr>
                <w:sz w:val="24"/>
              </w:rPr>
            </w:pPr>
            <w:r w:rsidRPr="00A51B99">
              <w:rPr>
                <w:sz w:val="24"/>
              </w:rPr>
              <w:t>P-value</w:t>
            </w:r>
          </w:p>
        </w:tc>
      </w:tr>
      <w:tr w:rsidR="00332EAD" w:rsidRPr="00A51B99" w:rsidTr="000A5ED0">
        <w:tc>
          <w:tcPr>
            <w:tcW w:w="0" w:type="auto"/>
            <w:vMerge/>
            <w:tcBorders>
              <w:top w:val="single" w:sz="12" w:space="0" w:color="000000"/>
              <w:left w:val="nil"/>
              <w:bottom w:val="single" w:sz="6" w:space="0" w:color="000000"/>
              <w:right w:val="nil"/>
            </w:tcBorders>
            <w:vAlign w:val="center"/>
          </w:tcPr>
          <w:p w:rsidR="00332EAD" w:rsidRPr="00A51B99" w:rsidRDefault="00332EAD" w:rsidP="000A5ED0">
            <w:pPr>
              <w:spacing w:line="276" w:lineRule="auto"/>
              <w:jc w:val="left"/>
              <w:rPr>
                <w:sz w:val="24"/>
              </w:rPr>
            </w:pPr>
          </w:p>
        </w:tc>
        <w:tc>
          <w:tcPr>
            <w:tcW w:w="817" w:type="pct"/>
            <w:tcBorders>
              <w:top w:val="single" w:sz="6" w:space="0" w:color="000000"/>
              <w:left w:val="nil"/>
              <w:bottom w:val="single" w:sz="6" w:space="0" w:color="000000"/>
              <w:right w:val="nil"/>
            </w:tcBorders>
            <w:vAlign w:val="center"/>
          </w:tcPr>
          <w:p w:rsidR="00332EAD" w:rsidRPr="00A51B99" w:rsidRDefault="00332EAD" w:rsidP="000A5ED0">
            <w:pPr>
              <w:spacing w:line="276" w:lineRule="auto"/>
              <w:jc w:val="center"/>
              <w:rPr>
                <w:sz w:val="24"/>
              </w:rPr>
            </w:pPr>
            <w:r w:rsidRPr="00A51B99">
              <w:rPr>
                <w:sz w:val="24"/>
              </w:rPr>
              <w:t>MF</w:t>
            </w:r>
          </w:p>
        </w:tc>
        <w:tc>
          <w:tcPr>
            <w:tcW w:w="648" w:type="pct"/>
            <w:tcBorders>
              <w:top w:val="single" w:sz="6" w:space="0" w:color="000000"/>
              <w:left w:val="nil"/>
              <w:bottom w:val="single" w:sz="6" w:space="0" w:color="000000"/>
              <w:right w:val="nil"/>
            </w:tcBorders>
            <w:vAlign w:val="center"/>
          </w:tcPr>
          <w:p w:rsidR="00332EAD" w:rsidRPr="00A51B99" w:rsidRDefault="00332EAD" w:rsidP="000A5ED0">
            <w:pPr>
              <w:spacing w:line="276" w:lineRule="auto"/>
              <w:jc w:val="center"/>
              <w:rPr>
                <w:sz w:val="24"/>
              </w:rPr>
            </w:pPr>
            <w:r w:rsidRPr="00A51B99">
              <w:rPr>
                <w:sz w:val="24"/>
              </w:rPr>
              <w:t>CS</w:t>
            </w:r>
          </w:p>
        </w:tc>
        <w:tc>
          <w:tcPr>
            <w:tcW w:w="0" w:type="auto"/>
            <w:vMerge/>
            <w:tcBorders>
              <w:top w:val="single" w:sz="12" w:space="0" w:color="000000"/>
              <w:left w:val="nil"/>
              <w:bottom w:val="single" w:sz="6" w:space="0" w:color="000000"/>
              <w:right w:val="nil"/>
            </w:tcBorders>
            <w:vAlign w:val="center"/>
          </w:tcPr>
          <w:p w:rsidR="00332EAD" w:rsidRPr="00A51B99" w:rsidRDefault="00332EAD" w:rsidP="000A5ED0">
            <w:pPr>
              <w:spacing w:line="276" w:lineRule="auto"/>
              <w:jc w:val="left"/>
              <w:rPr>
                <w:sz w:val="24"/>
              </w:rPr>
            </w:pPr>
          </w:p>
        </w:tc>
        <w:tc>
          <w:tcPr>
            <w:tcW w:w="0" w:type="auto"/>
            <w:vMerge/>
            <w:tcBorders>
              <w:top w:val="single" w:sz="12" w:space="0" w:color="000000"/>
              <w:left w:val="nil"/>
              <w:bottom w:val="single" w:sz="6" w:space="0" w:color="000000"/>
              <w:right w:val="nil"/>
            </w:tcBorders>
            <w:vAlign w:val="center"/>
          </w:tcPr>
          <w:p w:rsidR="00332EAD" w:rsidRPr="00A51B99" w:rsidRDefault="00332EAD" w:rsidP="000A5ED0">
            <w:pPr>
              <w:spacing w:line="276" w:lineRule="auto"/>
              <w:jc w:val="left"/>
              <w:rPr>
                <w:sz w:val="24"/>
              </w:rPr>
            </w:pPr>
          </w:p>
        </w:tc>
      </w:tr>
      <w:tr w:rsidR="00332EAD" w:rsidRPr="00A51B99" w:rsidTr="000A5ED0">
        <w:tc>
          <w:tcPr>
            <w:tcW w:w="2115" w:type="pct"/>
            <w:tcBorders>
              <w:top w:val="single" w:sz="6" w:space="0" w:color="000000"/>
              <w:left w:val="nil"/>
              <w:bottom w:val="nil"/>
              <w:right w:val="nil"/>
            </w:tcBorders>
            <w:vAlign w:val="center"/>
          </w:tcPr>
          <w:p w:rsidR="00332EAD" w:rsidRPr="00A51B99" w:rsidRDefault="00332EAD" w:rsidP="000A5ED0">
            <w:pPr>
              <w:spacing w:line="276" w:lineRule="auto"/>
              <w:jc w:val="center"/>
              <w:rPr>
                <w:sz w:val="24"/>
              </w:rPr>
            </w:pPr>
            <w:r w:rsidRPr="00A51B99">
              <w:rPr>
                <w:sz w:val="24"/>
              </w:rPr>
              <w:t>DMI</w:t>
            </w:r>
            <w:r w:rsidRPr="00A51B99">
              <w:rPr>
                <w:sz w:val="24"/>
                <w:vertAlign w:val="superscript"/>
              </w:rPr>
              <w:t>2</w:t>
            </w:r>
            <w:r w:rsidRPr="00A51B99">
              <w:rPr>
                <w:sz w:val="24"/>
              </w:rPr>
              <w:t>, kg/d</w:t>
            </w:r>
          </w:p>
        </w:tc>
        <w:tc>
          <w:tcPr>
            <w:tcW w:w="817" w:type="pct"/>
            <w:tcBorders>
              <w:top w:val="single" w:sz="6" w:space="0" w:color="000000"/>
              <w:left w:val="nil"/>
              <w:bottom w:val="nil"/>
              <w:right w:val="nil"/>
            </w:tcBorders>
            <w:vAlign w:val="center"/>
          </w:tcPr>
          <w:p w:rsidR="00332EAD" w:rsidRPr="00A51B99" w:rsidRDefault="00332EAD" w:rsidP="000A5ED0">
            <w:pPr>
              <w:spacing w:line="276" w:lineRule="auto"/>
              <w:jc w:val="center"/>
              <w:rPr>
                <w:sz w:val="24"/>
              </w:rPr>
            </w:pPr>
            <w:r w:rsidRPr="00A51B99">
              <w:rPr>
                <w:sz w:val="24"/>
              </w:rPr>
              <w:t>21.4</w:t>
            </w:r>
            <w:r w:rsidRPr="00A51B99">
              <w:rPr>
                <w:sz w:val="24"/>
                <w:vertAlign w:val="superscript"/>
              </w:rPr>
              <w:t>A</w:t>
            </w:r>
          </w:p>
        </w:tc>
        <w:tc>
          <w:tcPr>
            <w:tcW w:w="648" w:type="pct"/>
            <w:tcBorders>
              <w:top w:val="single" w:sz="6" w:space="0" w:color="000000"/>
              <w:left w:val="nil"/>
              <w:bottom w:val="nil"/>
              <w:right w:val="nil"/>
            </w:tcBorders>
            <w:vAlign w:val="center"/>
          </w:tcPr>
          <w:p w:rsidR="00332EAD" w:rsidRPr="00A51B99" w:rsidRDefault="00332EAD" w:rsidP="000A5ED0">
            <w:pPr>
              <w:spacing w:line="276" w:lineRule="auto"/>
              <w:jc w:val="center"/>
              <w:rPr>
                <w:sz w:val="24"/>
              </w:rPr>
            </w:pPr>
            <w:r w:rsidRPr="00A51B99">
              <w:rPr>
                <w:sz w:val="24"/>
              </w:rPr>
              <w:t>17.4</w:t>
            </w:r>
            <w:r w:rsidRPr="00A51B99">
              <w:rPr>
                <w:sz w:val="24"/>
                <w:vertAlign w:val="superscript"/>
              </w:rPr>
              <w:t>B</w:t>
            </w:r>
          </w:p>
        </w:tc>
        <w:tc>
          <w:tcPr>
            <w:tcW w:w="474" w:type="pct"/>
            <w:tcBorders>
              <w:top w:val="single" w:sz="6" w:space="0" w:color="000000"/>
              <w:left w:val="nil"/>
              <w:bottom w:val="nil"/>
              <w:right w:val="nil"/>
            </w:tcBorders>
            <w:vAlign w:val="center"/>
          </w:tcPr>
          <w:p w:rsidR="00332EAD" w:rsidRPr="00A51B99" w:rsidRDefault="00332EAD" w:rsidP="000A5ED0">
            <w:pPr>
              <w:spacing w:line="276" w:lineRule="auto"/>
              <w:jc w:val="center"/>
              <w:rPr>
                <w:sz w:val="24"/>
              </w:rPr>
            </w:pPr>
            <w:r w:rsidRPr="00A51B99">
              <w:rPr>
                <w:sz w:val="24"/>
              </w:rPr>
              <w:t>0.34</w:t>
            </w:r>
          </w:p>
        </w:tc>
        <w:tc>
          <w:tcPr>
            <w:tcW w:w="946" w:type="pct"/>
            <w:tcBorders>
              <w:top w:val="single" w:sz="6" w:space="0" w:color="000000"/>
              <w:left w:val="nil"/>
              <w:bottom w:val="nil"/>
              <w:right w:val="nil"/>
            </w:tcBorders>
            <w:vAlign w:val="center"/>
          </w:tcPr>
          <w:p w:rsidR="00332EAD" w:rsidRPr="00A51B99" w:rsidRDefault="00332EAD" w:rsidP="000A5ED0">
            <w:pPr>
              <w:spacing w:line="276" w:lineRule="auto"/>
              <w:jc w:val="center"/>
              <w:rPr>
                <w:sz w:val="24"/>
              </w:rPr>
            </w:pPr>
            <w:r w:rsidRPr="00A51B99">
              <w:rPr>
                <w:bCs/>
                <w:sz w:val="24"/>
              </w:rPr>
              <w:t>&lt;0.0001</w:t>
            </w:r>
          </w:p>
        </w:tc>
      </w:tr>
      <w:tr w:rsidR="00332EAD" w:rsidRPr="00A51B99" w:rsidTr="000A5ED0">
        <w:tc>
          <w:tcPr>
            <w:tcW w:w="2115"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Milk, kg/d</w:t>
            </w:r>
          </w:p>
        </w:tc>
        <w:tc>
          <w:tcPr>
            <w:tcW w:w="817"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30.5</w:t>
            </w:r>
            <w:r w:rsidRPr="00A51B99">
              <w:rPr>
                <w:sz w:val="24"/>
                <w:vertAlign w:val="superscript"/>
              </w:rPr>
              <w:t>A</w:t>
            </w:r>
          </w:p>
        </w:tc>
        <w:tc>
          <w:tcPr>
            <w:tcW w:w="648"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23.1</w:t>
            </w:r>
            <w:r w:rsidRPr="00A51B99">
              <w:rPr>
                <w:sz w:val="24"/>
                <w:vertAlign w:val="superscript"/>
              </w:rPr>
              <w:t>B</w:t>
            </w:r>
          </w:p>
        </w:tc>
        <w:tc>
          <w:tcPr>
            <w:tcW w:w="474"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0.90</w:t>
            </w:r>
          </w:p>
        </w:tc>
        <w:tc>
          <w:tcPr>
            <w:tcW w:w="946"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bCs/>
                <w:sz w:val="24"/>
              </w:rPr>
              <w:t>&lt;0.0001</w:t>
            </w:r>
          </w:p>
        </w:tc>
      </w:tr>
      <w:tr w:rsidR="00332EAD" w:rsidRPr="00A51B99" w:rsidTr="000A5ED0">
        <w:tc>
          <w:tcPr>
            <w:tcW w:w="2115"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Milk fat, %</w:t>
            </w:r>
          </w:p>
        </w:tc>
        <w:tc>
          <w:tcPr>
            <w:tcW w:w="817"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4.46</w:t>
            </w:r>
          </w:p>
        </w:tc>
        <w:tc>
          <w:tcPr>
            <w:tcW w:w="648"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4.38</w:t>
            </w:r>
          </w:p>
        </w:tc>
        <w:tc>
          <w:tcPr>
            <w:tcW w:w="474"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0.13</w:t>
            </w:r>
          </w:p>
        </w:tc>
        <w:tc>
          <w:tcPr>
            <w:tcW w:w="946"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0.90</w:t>
            </w:r>
          </w:p>
        </w:tc>
      </w:tr>
      <w:tr w:rsidR="00332EAD" w:rsidRPr="00A51B99" w:rsidTr="000A5ED0">
        <w:tc>
          <w:tcPr>
            <w:tcW w:w="2115"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Milk fat, kg/d</w:t>
            </w:r>
          </w:p>
        </w:tc>
        <w:tc>
          <w:tcPr>
            <w:tcW w:w="817"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1.36</w:t>
            </w:r>
            <w:r w:rsidRPr="00A51B99">
              <w:rPr>
                <w:sz w:val="24"/>
                <w:vertAlign w:val="superscript"/>
              </w:rPr>
              <w:t>A</w:t>
            </w:r>
          </w:p>
        </w:tc>
        <w:tc>
          <w:tcPr>
            <w:tcW w:w="648"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1.01</w:t>
            </w:r>
            <w:r w:rsidRPr="00A51B99">
              <w:rPr>
                <w:sz w:val="24"/>
                <w:vertAlign w:val="superscript"/>
              </w:rPr>
              <w:t>B</w:t>
            </w:r>
          </w:p>
        </w:tc>
        <w:tc>
          <w:tcPr>
            <w:tcW w:w="474"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0.03</w:t>
            </w:r>
          </w:p>
        </w:tc>
        <w:tc>
          <w:tcPr>
            <w:tcW w:w="946"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bCs/>
                <w:sz w:val="24"/>
              </w:rPr>
              <w:t>&lt;0.0001</w:t>
            </w:r>
          </w:p>
        </w:tc>
      </w:tr>
      <w:tr w:rsidR="00332EAD" w:rsidRPr="00A51B99" w:rsidTr="000A5ED0">
        <w:tc>
          <w:tcPr>
            <w:tcW w:w="2115"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Milk protein, %</w:t>
            </w:r>
          </w:p>
        </w:tc>
        <w:tc>
          <w:tcPr>
            <w:tcW w:w="817"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3.66</w:t>
            </w:r>
            <w:r w:rsidRPr="00A51B99">
              <w:rPr>
                <w:sz w:val="24"/>
                <w:vertAlign w:val="superscript"/>
              </w:rPr>
              <w:t>A</w:t>
            </w:r>
          </w:p>
        </w:tc>
        <w:tc>
          <w:tcPr>
            <w:tcW w:w="648"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3.32</w:t>
            </w:r>
            <w:r w:rsidRPr="00A51B99">
              <w:rPr>
                <w:sz w:val="24"/>
                <w:vertAlign w:val="superscript"/>
              </w:rPr>
              <w:t>B</w:t>
            </w:r>
          </w:p>
        </w:tc>
        <w:tc>
          <w:tcPr>
            <w:tcW w:w="474"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0.07</w:t>
            </w:r>
          </w:p>
        </w:tc>
        <w:tc>
          <w:tcPr>
            <w:tcW w:w="946"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bCs/>
                <w:sz w:val="24"/>
              </w:rPr>
              <w:t>0.0012</w:t>
            </w:r>
          </w:p>
        </w:tc>
      </w:tr>
      <w:tr w:rsidR="00332EAD" w:rsidRPr="00A51B99" w:rsidTr="000A5ED0">
        <w:tc>
          <w:tcPr>
            <w:tcW w:w="2115" w:type="pct"/>
            <w:tcBorders>
              <w:top w:val="nil"/>
              <w:left w:val="nil"/>
              <w:bottom w:val="single" w:sz="12" w:space="0" w:color="000000"/>
              <w:right w:val="nil"/>
            </w:tcBorders>
            <w:vAlign w:val="center"/>
          </w:tcPr>
          <w:p w:rsidR="00332EAD" w:rsidRPr="00A51B99" w:rsidRDefault="00332EAD" w:rsidP="000A5ED0">
            <w:pPr>
              <w:spacing w:line="276" w:lineRule="auto"/>
              <w:jc w:val="center"/>
              <w:rPr>
                <w:sz w:val="24"/>
                <w:lang w:val="da-DK"/>
              </w:rPr>
            </w:pPr>
            <w:r w:rsidRPr="00A51B99">
              <w:rPr>
                <w:sz w:val="24"/>
                <w:lang w:val="da-DK"/>
              </w:rPr>
              <w:t>Milk protein</w:t>
            </w:r>
            <w:r w:rsidRPr="00A51B99">
              <w:rPr>
                <w:sz w:val="24"/>
                <w:lang w:val="da-DK"/>
              </w:rPr>
              <w:t>，</w:t>
            </w:r>
            <w:r w:rsidRPr="00A51B99">
              <w:rPr>
                <w:sz w:val="24"/>
                <w:lang w:val="da-DK"/>
              </w:rPr>
              <w:t>kg/d</w:t>
            </w:r>
          </w:p>
        </w:tc>
        <w:tc>
          <w:tcPr>
            <w:tcW w:w="817" w:type="pct"/>
            <w:tcBorders>
              <w:top w:val="nil"/>
              <w:left w:val="nil"/>
              <w:bottom w:val="single" w:sz="12" w:space="0" w:color="000000"/>
              <w:right w:val="nil"/>
            </w:tcBorders>
            <w:vAlign w:val="center"/>
          </w:tcPr>
          <w:p w:rsidR="00332EAD" w:rsidRPr="00A51B99" w:rsidRDefault="00332EAD" w:rsidP="000A5ED0">
            <w:pPr>
              <w:spacing w:line="276" w:lineRule="auto"/>
              <w:jc w:val="center"/>
              <w:rPr>
                <w:sz w:val="24"/>
              </w:rPr>
            </w:pPr>
            <w:r w:rsidRPr="00A51B99">
              <w:rPr>
                <w:sz w:val="24"/>
              </w:rPr>
              <w:t>1.11</w:t>
            </w:r>
            <w:r w:rsidRPr="00A51B99">
              <w:rPr>
                <w:sz w:val="24"/>
                <w:vertAlign w:val="superscript"/>
              </w:rPr>
              <w:t>A</w:t>
            </w:r>
          </w:p>
        </w:tc>
        <w:tc>
          <w:tcPr>
            <w:tcW w:w="648" w:type="pct"/>
            <w:tcBorders>
              <w:top w:val="nil"/>
              <w:left w:val="nil"/>
              <w:bottom w:val="single" w:sz="12" w:space="0" w:color="000000"/>
              <w:right w:val="nil"/>
            </w:tcBorders>
            <w:vAlign w:val="center"/>
          </w:tcPr>
          <w:p w:rsidR="00332EAD" w:rsidRPr="00A51B99" w:rsidRDefault="00332EAD" w:rsidP="000A5ED0">
            <w:pPr>
              <w:spacing w:line="276" w:lineRule="auto"/>
              <w:jc w:val="center"/>
              <w:rPr>
                <w:sz w:val="24"/>
              </w:rPr>
            </w:pPr>
            <w:r w:rsidRPr="00A51B99">
              <w:rPr>
                <w:sz w:val="24"/>
              </w:rPr>
              <w:t>0.77</w:t>
            </w:r>
            <w:r w:rsidRPr="00A51B99">
              <w:rPr>
                <w:sz w:val="24"/>
                <w:vertAlign w:val="superscript"/>
              </w:rPr>
              <w:t>B</w:t>
            </w:r>
          </w:p>
        </w:tc>
        <w:tc>
          <w:tcPr>
            <w:tcW w:w="474" w:type="pct"/>
            <w:tcBorders>
              <w:top w:val="nil"/>
              <w:left w:val="nil"/>
              <w:bottom w:val="single" w:sz="12" w:space="0" w:color="000000"/>
              <w:right w:val="nil"/>
            </w:tcBorders>
            <w:vAlign w:val="center"/>
          </w:tcPr>
          <w:p w:rsidR="00332EAD" w:rsidRPr="00A51B99" w:rsidRDefault="00332EAD" w:rsidP="000A5ED0">
            <w:pPr>
              <w:spacing w:line="276" w:lineRule="auto"/>
              <w:jc w:val="center"/>
              <w:rPr>
                <w:sz w:val="24"/>
              </w:rPr>
            </w:pPr>
            <w:r w:rsidRPr="00A51B99">
              <w:rPr>
                <w:sz w:val="24"/>
              </w:rPr>
              <w:t>0.03</w:t>
            </w:r>
          </w:p>
        </w:tc>
        <w:tc>
          <w:tcPr>
            <w:tcW w:w="946" w:type="pct"/>
            <w:tcBorders>
              <w:top w:val="nil"/>
              <w:left w:val="nil"/>
              <w:bottom w:val="single" w:sz="12" w:space="0" w:color="000000"/>
              <w:right w:val="nil"/>
            </w:tcBorders>
            <w:vAlign w:val="center"/>
          </w:tcPr>
          <w:p w:rsidR="00332EAD" w:rsidRPr="00A51B99" w:rsidRDefault="00332EAD" w:rsidP="000A5ED0">
            <w:pPr>
              <w:spacing w:line="276" w:lineRule="auto"/>
              <w:jc w:val="center"/>
              <w:rPr>
                <w:sz w:val="24"/>
              </w:rPr>
            </w:pPr>
            <w:r w:rsidRPr="00A51B99">
              <w:rPr>
                <w:bCs/>
                <w:sz w:val="24"/>
              </w:rPr>
              <w:t>&lt;0.0001</w:t>
            </w:r>
          </w:p>
        </w:tc>
      </w:tr>
    </w:tbl>
    <w:p w:rsidR="00332EAD" w:rsidRPr="00A51B99" w:rsidRDefault="00332EAD" w:rsidP="00332EAD">
      <w:pPr>
        <w:spacing w:line="276" w:lineRule="auto"/>
        <w:rPr>
          <w:sz w:val="24"/>
        </w:rPr>
      </w:pPr>
      <w:r w:rsidRPr="00A51B99">
        <w:rPr>
          <w:sz w:val="24"/>
          <w:vertAlign w:val="superscript"/>
        </w:rPr>
        <w:t>1</w:t>
      </w:r>
      <w:r w:rsidRPr="00A51B99">
        <w:rPr>
          <w:sz w:val="24"/>
        </w:rPr>
        <w:t>Cows were fed a basal diet supplemented with either alfalfa and corn silage(MF) or corn straw(CS) as forage source.</w:t>
      </w:r>
    </w:p>
    <w:p w:rsidR="00332EAD" w:rsidRPr="00A51B99" w:rsidRDefault="00332EAD" w:rsidP="00332EAD">
      <w:pPr>
        <w:spacing w:line="276" w:lineRule="auto"/>
        <w:jc w:val="left"/>
        <w:rPr>
          <w:sz w:val="24"/>
        </w:rPr>
      </w:pPr>
      <w:r w:rsidRPr="00A51B99">
        <w:rPr>
          <w:sz w:val="24"/>
          <w:vertAlign w:val="superscript"/>
        </w:rPr>
        <w:t>2</w:t>
      </w:r>
      <w:r w:rsidRPr="00A51B99">
        <w:rPr>
          <w:sz w:val="24"/>
        </w:rPr>
        <w:t>DMI=Dry matter intake.</w:t>
      </w:r>
    </w:p>
    <w:p w:rsidR="00332EAD" w:rsidRPr="00A51B99" w:rsidRDefault="00332EAD" w:rsidP="00332EAD">
      <w:pPr>
        <w:spacing w:line="276" w:lineRule="auto"/>
        <w:rPr>
          <w:sz w:val="24"/>
        </w:rPr>
      </w:pPr>
      <w:r w:rsidRPr="00A51B99">
        <w:rPr>
          <w:sz w:val="24"/>
          <w:vertAlign w:val="superscript"/>
        </w:rPr>
        <w:t>3</w:t>
      </w:r>
      <w:r w:rsidRPr="00A51B99">
        <w:rPr>
          <w:sz w:val="24"/>
        </w:rPr>
        <w:t>SEM= Standard error of least squares of means.</w:t>
      </w:r>
    </w:p>
    <w:p w:rsidR="00332EAD" w:rsidRPr="00A51B99" w:rsidRDefault="00332EAD" w:rsidP="00332EAD">
      <w:pPr>
        <w:spacing w:line="276" w:lineRule="auto"/>
        <w:rPr>
          <w:sz w:val="24"/>
        </w:rPr>
      </w:pPr>
      <w:r w:rsidRPr="00A51B99">
        <w:rPr>
          <w:sz w:val="24"/>
          <w:vertAlign w:val="superscript"/>
        </w:rPr>
        <w:t>A.B</w:t>
      </w:r>
      <w:r w:rsidRPr="00A51B99">
        <w:rPr>
          <w:sz w:val="24"/>
        </w:rPr>
        <w:t xml:space="preserve">Expressed as significant level, </w:t>
      </w:r>
      <w:r w:rsidRPr="00A51B99">
        <w:rPr>
          <w:i/>
          <w:sz w:val="24"/>
        </w:rPr>
        <w:t>P&lt;0.01.</w:t>
      </w:r>
    </w:p>
    <w:p w:rsidR="00332EAD" w:rsidRDefault="00332EAD" w:rsidP="00332EAD">
      <w:pPr>
        <w:spacing w:line="276" w:lineRule="auto"/>
        <w:jc w:val="center"/>
        <w:rPr>
          <w:rFonts w:hint="eastAsia"/>
          <w:i/>
          <w:sz w:val="24"/>
        </w:rPr>
      </w:pPr>
      <w:r w:rsidRPr="00A51B99">
        <w:rPr>
          <w:i/>
          <w:sz w:val="24"/>
        </w:rPr>
        <w:t>Table2. Effect of different forage types on milk fatty acid (FA) composition(g/100g FA)</w:t>
      </w:r>
    </w:p>
    <w:p w:rsidR="00332EAD" w:rsidRPr="00A51B99" w:rsidRDefault="00332EAD" w:rsidP="00332EAD">
      <w:pPr>
        <w:spacing w:line="276" w:lineRule="auto"/>
        <w:jc w:val="center"/>
        <w:rPr>
          <w:i/>
          <w:sz w:val="24"/>
        </w:rPr>
      </w:pPr>
    </w:p>
    <w:tbl>
      <w:tblPr>
        <w:tblW w:w="5231" w:type="pct"/>
        <w:tblBorders>
          <w:top w:val="single" w:sz="12" w:space="0" w:color="000000"/>
          <w:bottom w:val="single" w:sz="12" w:space="0" w:color="000000"/>
        </w:tblBorders>
        <w:tblLook w:val="04A0"/>
      </w:tblPr>
      <w:tblGrid>
        <w:gridCol w:w="1639"/>
        <w:gridCol w:w="2286"/>
        <w:gridCol w:w="2290"/>
        <w:gridCol w:w="1164"/>
        <w:gridCol w:w="1537"/>
      </w:tblGrid>
      <w:tr w:rsidR="00332EAD" w:rsidRPr="00A51B99" w:rsidTr="000A5ED0">
        <w:trPr>
          <w:trHeight w:val="516"/>
        </w:trPr>
        <w:tc>
          <w:tcPr>
            <w:tcW w:w="919" w:type="pct"/>
            <w:vMerge w:val="restart"/>
            <w:tcBorders>
              <w:top w:val="single" w:sz="12" w:space="0" w:color="000000"/>
              <w:left w:val="nil"/>
              <w:bottom w:val="single" w:sz="6" w:space="0" w:color="000000"/>
              <w:right w:val="nil"/>
            </w:tcBorders>
            <w:vAlign w:val="center"/>
          </w:tcPr>
          <w:p w:rsidR="00332EAD" w:rsidRPr="00A51B99" w:rsidRDefault="00332EAD" w:rsidP="000A5ED0">
            <w:pPr>
              <w:spacing w:line="276" w:lineRule="auto"/>
              <w:jc w:val="center"/>
              <w:rPr>
                <w:sz w:val="24"/>
              </w:rPr>
            </w:pPr>
            <w:r w:rsidRPr="00A51B99">
              <w:rPr>
                <w:sz w:val="24"/>
              </w:rPr>
              <w:t>Item</w:t>
            </w:r>
            <w:r w:rsidRPr="00A51B99">
              <w:rPr>
                <w:sz w:val="24"/>
                <w:vertAlign w:val="superscript"/>
              </w:rPr>
              <w:t>2</w:t>
            </w:r>
          </w:p>
        </w:tc>
        <w:tc>
          <w:tcPr>
            <w:tcW w:w="2565" w:type="pct"/>
            <w:gridSpan w:val="2"/>
            <w:tcBorders>
              <w:top w:val="single" w:sz="12" w:space="0" w:color="000000"/>
              <w:left w:val="nil"/>
              <w:bottom w:val="single" w:sz="6" w:space="0" w:color="000000"/>
              <w:right w:val="nil"/>
            </w:tcBorders>
            <w:vAlign w:val="center"/>
          </w:tcPr>
          <w:p w:rsidR="00332EAD" w:rsidRPr="00A51B99" w:rsidRDefault="00332EAD" w:rsidP="000A5ED0">
            <w:pPr>
              <w:spacing w:line="276" w:lineRule="auto"/>
              <w:jc w:val="center"/>
              <w:rPr>
                <w:sz w:val="24"/>
              </w:rPr>
            </w:pPr>
            <w:r w:rsidRPr="00A51B99">
              <w:rPr>
                <w:sz w:val="24"/>
              </w:rPr>
              <w:t>Treatment</w:t>
            </w:r>
            <w:r w:rsidRPr="00A51B99">
              <w:rPr>
                <w:sz w:val="24"/>
                <w:vertAlign w:val="superscript"/>
              </w:rPr>
              <w:t>1</w:t>
            </w:r>
          </w:p>
        </w:tc>
        <w:tc>
          <w:tcPr>
            <w:tcW w:w="653" w:type="pct"/>
            <w:vMerge w:val="restart"/>
            <w:tcBorders>
              <w:top w:val="single" w:sz="12" w:space="0" w:color="000000"/>
              <w:left w:val="nil"/>
              <w:bottom w:val="single" w:sz="6" w:space="0" w:color="000000"/>
              <w:right w:val="nil"/>
            </w:tcBorders>
            <w:vAlign w:val="center"/>
          </w:tcPr>
          <w:p w:rsidR="00332EAD" w:rsidRPr="00A51B99" w:rsidRDefault="00332EAD" w:rsidP="000A5ED0">
            <w:pPr>
              <w:spacing w:line="276" w:lineRule="auto"/>
              <w:jc w:val="center"/>
              <w:rPr>
                <w:sz w:val="24"/>
              </w:rPr>
            </w:pPr>
            <w:r w:rsidRPr="00A51B99">
              <w:rPr>
                <w:sz w:val="24"/>
              </w:rPr>
              <w:t>SEM</w:t>
            </w:r>
            <w:r w:rsidRPr="00A51B99">
              <w:rPr>
                <w:sz w:val="24"/>
                <w:vertAlign w:val="superscript"/>
              </w:rPr>
              <w:t>3</w:t>
            </w:r>
          </w:p>
        </w:tc>
        <w:tc>
          <w:tcPr>
            <w:tcW w:w="862" w:type="pct"/>
            <w:vMerge w:val="restart"/>
            <w:tcBorders>
              <w:top w:val="single" w:sz="12" w:space="0" w:color="000000"/>
              <w:left w:val="nil"/>
              <w:bottom w:val="single" w:sz="6" w:space="0" w:color="000000"/>
              <w:right w:val="nil"/>
            </w:tcBorders>
            <w:vAlign w:val="center"/>
          </w:tcPr>
          <w:p w:rsidR="00332EAD" w:rsidRPr="00A51B99" w:rsidRDefault="00332EAD" w:rsidP="000A5ED0">
            <w:pPr>
              <w:spacing w:line="276" w:lineRule="auto"/>
              <w:jc w:val="center"/>
              <w:rPr>
                <w:sz w:val="24"/>
              </w:rPr>
            </w:pPr>
            <w:r w:rsidRPr="00A51B99">
              <w:rPr>
                <w:sz w:val="24"/>
              </w:rPr>
              <w:t>P-value</w:t>
            </w:r>
          </w:p>
        </w:tc>
      </w:tr>
      <w:tr w:rsidR="00332EAD" w:rsidRPr="00A51B99" w:rsidTr="000A5ED0">
        <w:trPr>
          <w:trHeight w:val="282"/>
        </w:trPr>
        <w:tc>
          <w:tcPr>
            <w:tcW w:w="0" w:type="auto"/>
            <w:vMerge/>
            <w:tcBorders>
              <w:top w:val="single" w:sz="12" w:space="0" w:color="000000"/>
              <w:left w:val="nil"/>
              <w:bottom w:val="single" w:sz="6" w:space="0" w:color="000000"/>
              <w:right w:val="nil"/>
            </w:tcBorders>
            <w:vAlign w:val="center"/>
          </w:tcPr>
          <w:p w:rsidR="00332EAD" w:rsidRPr="00A51B99" w:rsidRDefault="00332EAD" w:rsidP="000A5ED0">
            <w:pPr>
              <w:spacing w:line="276" w:lineRule="auto"/>
              <w:jc w:val="left"/>
              <w:rPr>
                <w:sz w:val="24"/>
              </w:rPr>
            </w:pPr>
          </w:p>
        </w:tc>
        <w:tc>
          <w:tcPr>
            <w:tcW w:w="1282" w:type="pct"/>
            <w:tcBorders>
              <w:top w:val="single" w:sz="6" w:space="0" w:color="000000"/>
              <w:left w:val="nil"/>
              <w:bottom w:val="single" w:sz="6" w:space="0" w:color="000000"/>
              <w:right w:val="nil"/>
            </w:tcBorders>
            <w:vAlign w:val="center"/>
          </w:tcPr>
          <w:p w:rsidR="00332EAD" w:rsidRPr="00A51B99" w:rsidRDefault="00332EAD" w:rsidP="000A5ED0">
            <w:pPr>
              <w:spacing w:line="276" w:lineRule="auto"/>
              <w:jc w:val="center"/>
              <w:rPr>
                <w:sz w:val="24"/>
              </w:rPr>
            </w:pPr>
            <w:r w:rsidRPr="00A51B99">
              <w:rPr>
                <w:sz w:val="24"/>
              </w:rPr>
              <w:t>MF</w:t>
            </w:r>
          </w:p>
        </w:tc>
        <w:tc>
          <w:tcPr>
            <w:tcW w:w="1284" w:type="pct"/>
            <w:tcBorders>
              <w:top w:val="single" w:sz="6" w:space="0" w:color="000000"/>
              <w:left w:val="nil"/>
              <w:bottom w:val="single" w:sz="6" w:space="0" w:color="000000"/>
              <w:right w:val="nil"/>
            </w:tcBorders>
            <w:vAlign w:val="center"/>
          </w:tcPr>
          <w:p w:rsidR="00332EAD" w:rsidRPr="00A51B99" w:rsidRDefault="00332EAD" w:rsidP="000A5ED0">
            <w:pPr>
              <w:spacing w:line="276" w:lineRule="auto"/>
              <w:jc w:val="center"/>
              <w:rPr>
                <w:sz w:val="24"/>
              </w:rPr>
            </w:pPr>
            <w:r w:rsidRPr="00A51B99">
              <w:rPr>
                <w:sz w:val="24"/>
              </w:rPr>
              <w:t>CS</w:t>
            </w:r>
          </w:p>
        </w:tc>
        <w:tc>
          <w:tcPr>
            <w:tcW w:w="0" w:type="auto"/>
            <w:vMerge/>
            <w:tcBorders>
              <w:top w:val="single" w:sz="12" w:space="0" w:color="000000"/>
              <w:left w:val="nil"/>
              <w:bottom w:val="single" w:sz="6" w:space="0" w:color="000000"/>
              <w:right w:val="nil"/>
            </w:tcBorders>
            <w:vAlign w:val="center"/>
          </w:tcPr>
          <w:p w:rsidR="00332EAD" w:rsidRPr="00A51B99" w:rsidRDefault="00332EAD" w:rsidP="000A5ED0">
            <w:pPr>
              <w:spacing w:line="276" w:lineRule="auto"/>
              <w:jc w:val="left"/>
              <w:rPr>
                <w:sz w:val="24"/>
              </w:rPr>
            </w:pPr>
          </w:p>
        </w:tc>
        <w:tc>
          <w:tcPr>
            <w:tcW w:w="0" w:type="auto"/>
            <w:vMerge/>
            <w:tcBorders>
              <w:top w:val="single" w:sz="12" w:space="0" w:color="000000"/>
              <w:left w:val="nil"/>
              <w:bottom w:val="single" w:sz="6" w:space="0" w:color="000000"/>
              <w:right w:val="nil"/>
            </w:tcBorders>
            <w:vAlign w:val="center"/>
          </w:tcPr>
          <w:p w:rsidR="00332EAD" w:rsidRPr="00A51B99" w:rsidRDefault="00332EAD" w:rsidP="000A5ED0">
            <w:pPr>
              <w:spacing w:line="276" w:lineRule="auto"/>
              <w:jc w:val="left"/>
              <w:rPr>
                <w:sz w:val="24"/>
              </w:rPr>
            </w:pPr>
          </w:p>
        </w:tc>
      </w:tr>
      <w:tr w:rsidR="00332EAD" w:rsidRPr="00A51B99" w:rsidTr="000A5ED0">
        <w:trPr>
          <w:trHeight w:val="469"/>
        </w:trPr>
        <w:tc>
          <w:tcPr>
            <w:tcW w:w="919" w:type="pct"/>
            <w:tcBorders>
              <w:top w:val="single" w:sz="6" w:space="0" w:color="000000"/>
              <w:left w:val="nil"/>
              <w:bottom w:val="nil"/>
              <w:right w:val="nil"/>
            </w:tcBorders>
            <w:vAlign w:val="center"/>
          </w:tcPr>
          <w:p w:rsidR="00332EAD" w:rsidRPr="00A51B99" w:rsidRDefault="00332EAD" w:rsidP="000A5ED0">
            <w:pPr>
              <w:spacing w:line="276" w:lineRule="auto"/>
              <w:jc w:val="center"/>
              <w:rPr>
                <w:sz w:val="24"/>
              </w:rPr>
            </w:pPr>
            <w:r w:rsidRPr="00A51B99">
              <w:rPr>
                <w:sz w:val="24"/>
              </w:rPr>
              <w:t>SFA</w:t>
            </w:r>
          </w:p>
        </w:tc>
        <w:tc>
          <w:tcPr>
            <w:tcW w:w="1282" w:type="pct"/>
            <w:tcBorders>
              <w:top w:val="single" w:sz="6" w:space="0" w:color="000000"/>
              <w:left w:val="nil"/>
              <w:bottom w:val="nil"/>
              <w:right w:val="nil"/>
            </w:tcBorders>
            <w:vAlign w:val="center"/>
          </w:tcPr>
          <w:p w:rsidR="00332EAD" w:rsidRPr="00A51B99" w:rsidRDefault="00332EAD" w:rsidP="000A5ED0">
            <w:pPr>
              <w:spacing w:line="276" w:lineRule="auto"/>
              <w:jc w:val="center"/>
              <w:rPr>
                <w:sz w:val="24"/>
              </w:rPr>
            </w:pPr>
            <w:r w:rsidRPr="00A51B99">
              <w:rPr>
                <w:sz w:val="24"/>
              </w:rPr>
              <w:t>74.77</w:t>
            </w:r>
            <w:r w:rsidRPr="00A51B99">
              <w:rPr>
                <w:sz w:val="24"/>
                <w:vertAlign w:val="superscript"/>
              </w:rPr>
              <w:t>A</w:t>
            </w:r>
          </w:p>
        </w:tc>
        <w:tc>
          <w:tcPr>
            <w:tcW w:w="1284" w:type="pct"/>
            <w:tcBorders>
              <w:top w:val="single" w:sz="6" w:space="0" w:color="000000"/>
              <w:left w:val="nil"/>
              <w:bottom w:val="nil"/>
              <w:right w:val="nil"/>
            </w:tcBorders>
            <w:vAlign w:val="center"/>
          </w:tcPr>
          <w:p w:rsidR="00332EAD" w:rsidRPr="00A51B99" w:rsidRDefault="00332EAD" w:rsidP="000A5ED0">
            <w:pPr>
              <w:spacing w:line="276" w:lineRule="auto"/>
              <w:jc w:val="center"/>
              <w:rPr>
                <w:sz w:val="24"/>
              </w:rPr>
            </w:pPr>
            <w:r w:rsidRPr="00A51B99">
              <w:rPr>
                <w:sz w:val="24"/>
              </w:rPr>
              <w:t>69.93</w:t>
            </w:r>
            <w:r w:rsidRPr="00A51B99">
              <w:rPr>
                <w:sz w:val="24"/>
                <w:vertAlign w:val="superscript"/>
              </w:rPr>
              <w:t>B</w:t>
            </w:r>
          </w:p>
        </w:tc>
        <w:tc>
          <w:tcPr>
            <w:tcW w:w="653" w:type="pct"/>
            <w:tcBorders>
              <w:top w:val="single" w:sz="6" w:space="0" w:color="000000"/>
              <w:left w:val="nil"/>
              <w:bottom w:val="nil"/>
              <w:right w:val="nil"/>
            </w:tcBorders>
            <w:vAlign w:val="center"/>
          </w:tcPr>
          <w:p w:rsidR="00332EAD" w:rsidRPr="00A51B99" w:rsidRDefault="00332EAD" w:rsidP="000A5ED0">
            <w:pPr>
              <w:spacing w:line="276" w:lineRule="auto"/>
              <w:jc w:val="center"/>
              <w:rPr>
                <w:sz w:val="24"/>
              </w:rPr>
            </w:pPr>
            <w:r w:rsidRPr="00A51B99">
              <w:rPr>
                <w:sz w:val="24"/>
              </w:rPr>
              <w:t>2.42</w:t>
            </w:r>
          </w:p>
        </w:tc>
        <w:tc>
          <w:tcPr>
            <w:tcW w:w="862" w:type="pct"/>
            <w:tcBorders>
              <w:top w:val="single" w:sz="6" w:space="0" w:color="000000"/>
              <w:left w:val="nil"/>
              <w:bottom w:val="nil"/>
              <w:right w:val="nil"/>
            </w:tcBorders>
            <w:vAlign w:val="center"/>
          </w:tcPr>
          <w:p w:rsidR="00332EAD" w:rsidRPr="00A51B99" w:rsidRDefault="00332EAD" w:rsidP="000A5ED0">
            <w:pPr>
              <w:spacing w:line="276" w:lineRule="auto"/>
              <w:jc w:val="center"/>
              <w:rPr>
                <w:sz w:val="24"/>
              </w:rPr>
            </w:pPr>
            <w:r w:rsidRPr="00A51B99">
              <w:rPr>
                <w:sz w:val="24"/>
              </w:rPr>
              <w:t>&lt;.0001</w:t>
            </w:r>
          </w:p>
        </w:tc>
      </w:tr>
      <w:tr w:rsidR="00332EAD" w:rsidRPr="00A51B99" w:rsidTr="000A5ED0">
        <w:trPr>
          <w:trHeight w:val="516"/>
        </w:trPr>
        <w:tc>
          <w:tcPr>
            <w:tcW w:w="919"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UFA</w:t>
            </w:r>
          </w:p>
        </w:tc>
        <w:tc>
          <w:tcPr>
            <w:tcW w:w="1282"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25.23</w:t>
            </w:r>
            <w:r w:rsidRPr="00A51B99">
              <w:rPr>
                <w:sz w:val="24"/>
                <w:vertAlign w:val="superscript"/>
              </w:rPr>
              <w:t>B</w:t>
            </w:r>
          </w:p>
        </w:tc>
        <w:tc>
          <w:tcPr>
            <w:tcW w:w="1284"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30.07</w:t>
            </w:r>
            <w:r w:rsidRPr="00A51B99">
              <w:rPr>
                <w:sz w:val="24"/>
                <w:vertAlign w:val="superscript"/>
              </w:rPr>
              <w:t>A</w:t>
            </w:r>
          </w:p>
        </w:tc>
        <w:tc>
          <w:tcPr>
            <w:tcW w:w="653"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2.42</w:t>
            </w:r>
          </w:p>
        </w:tc>
        <w:tc>
          <w:tcPr>
            <w:tcW w:w="862"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&lt;.0001</w:t>
            </w:r>
          </w:p>
        </w:tc>
      </w:tr>
      <w:tr w:rsidR="00332EAD" w:rsidRPr="00A51B99" w:rsidTr="000A5ED0">
        <w:trPr>
          <w:trHeight w:val="516"/>
        </w:trPr>
        <w:tc>
          <w:tcPr>
            <w:tcW w:w="919"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MUFA</w:t>
            </w:r>
          </w:p>
        </w:tc>
        <w:tc>
          <w:tcPr>
            <w:tcW w:w="1282"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21.63</w:t>
            </w:r>
            <w:r w:rsidRPr="00A51B99">
              <w:rPr>
                <w:sz w:val="24"/>
                <w:vertAlign w:val="superscript"/>
              </w:rPr>
              <w:t>B</w:t>
            </w:r>
          </w:p>
        </w:tc>
        <w:tc>
          <w:tcPr>
            <w:tcW w:w="1284"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26.51</w:t>
            </w:r>
            <w:r w:rsidRPr="00A51B99">
              <w:rPr>
                <w:sz w:val="24"/>
                <w:vertAlign w:val="superscript"/>
              </w:rPr>
              <w:t>A</w:t>
            </w:r>
          </w:p>
        </w:tc>
        <w:tc>
          <w:tcPr>
            <w:tcW w:w="653"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2.27</w:t>
            </w:r>
          </w:p>
        </w:tc>
        <w:tc>
          <w:tcPr>
            <w:tcW w:w="862"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&lt;.0001</w:t>
            </w:r>
          </w:p>
        </w:tc>
      </w:tr>
      <w:tr w:rsidR="00332EAD" w:rsidRPr="00A51B99" w:rsidTr="000A5ED0">
        <w:trPr>
          <w:trHeight w:val="516"/>
        </w:trPr>
        <w:tc>
          <w:tcPr>
            <w:tcW w:w="919"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PUFA</w:t>
            </w:r>
          </w:p>
        </w:tc>
        <w:tc>
          <w:tcPr>
            <w:tcW w:w="1282"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3.60</w:t>
            </w:r>
          </w:p>
        </w:tc>
        <w:tc>
          <w:tcPr>
            <w:tcW w:w="1284"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3.56</w:t>
            </w:r>
          </w:p>
        </w:tc>
        <w:tc>
          <w:tcPr>
            <w:tcW w:w="653"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0.40</w:t>
            </w:r>
          </w:p>
        </w:tc>
        <w:tc>
          <w:tcPr>
            <w:tcW w:w="862"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0.2187</w:t>
            </w:r>
          </w:p>
        </w:tc>
      </w:tr>
      <w:tr w:rsidR="00332EAD" w:rsidRPr="00A51B99" w:rsidTr="000A5ED0">
        <w:trPr>
          <w:trHeight w:val="516"/>
        </w:trPr>
        <w:tc>
          <w:tcPr>
            <w:tcW w:w="919"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LCFA</w:t>
            </w:r>
          </w:p>
        </w:tc>
        <w:tc>
          <w:tcPr>
            <w:tcW w:w="1282"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52.62</w:t>
            </w:r>
            <w:r w:rsidRPr="00A51B99">
              <w:rPr>
                <w:sz w:val="24"/>
                <w:vertAlign w:val="superscript"/>
              </w:rPr>
              <w:t>B</w:t>
            </w:r>
          </w:p>
        </w:tc>
        <w:tc>
          <w:tcPr>
            <w:tcW w:w="1284"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58.98</w:t>
            </w:r>
            <w:r w:rsidRPr="00A51B99">
              <w:rPr>
                <w:sz w:val="24"/>
                <w:vertAlign w:val="superscript"/>
              </w:rPr>
              <w:t>A</w:t>
            </w:r>
          </w:p>
        </w:tc>
        <w:tc>
          <w:tcPr>
            <w:tcW w:w="653"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2.25</w:t>
            </w:r>
          </w:p>
        </w:tc>
        <w:tc>
          <w:tcPr>
            <w:tcW w:w="862" w:type="pct"/>
            <w:tcBorders>
              <w:top w:val="nil"/>
              <w:left w:val="nil"/>
              <w:bottom w:val="nil"/>
              <w:right w:val="nil"/>
            </w:tcBorders>
            <w:vAlign w:val="center"/>
          </w:tcPr>
          <w:p w:rsidR="00332EAD" w:rsidRPr="00A51B99" w:rsidRDefault="00332EAD" w:rsidP="000A5ED0">
            <w:pPr>
              <w:spacing w:line="276" w:lineRule="auto"/>
              <w:jc w:val="center"/>
              <w:rPr>
                <w:sz w:val="24"/>
              </w:rPr>
            </w:pPr>
            <w:r w:rsidRPr="00A51B99">
              <w:rPr>
                <w:sz w:val="24"/>
              </w:rPr>
              <w:t>&lt;.0001</w:t>
            </w:r>
          </w:p>
        </w:tc>
      </w:tr>
      <w:tr w:rsidR="00332EAD" w:rsidRPr="00A51B99" w:rsidTr="000A5ED0">
        <w:trPr>
          <w:trHeight w:val="516"/>
        </w:trPr>
        <w:tc>
          <w:tcPr>
            <w:tcW w:w="919" w:type="pct"/>
            <w:tcBorders>
              <w:top w:val="nil"/>
              <w:left w:val="nil"/>
              <w:bottom w:val="single" w:sz="12" w:space="0" w:color="000000"/>
              <w:right w:val="nil"/>
            </w:tcBorders>
            <w:vAlign w:val="center"/>
          </w:tcPr>
          <w:p w:rsidR="00332EAD" w:rsidRPr="00A51B99" w:rsidRDefault="00332EAD" w:rsidP="000A5ED0">
            <w:pPr>
              <w:spacing w:line="276" w:lineRule="auto"/>
              <w:jc w:val="center"/>
              <w:rPr>
                <w:sz w:val="24"/>
              </w:rPr>
            </w:pPr>
            <w:r w:rsidRPr="00A51B99">
              <w:rPr>
                <w:sz w:val="24"/>
              </w:rPr>
              <w:t>SMCFA</w:t>
            </w:r>
          </w:p>
        </w:tc>
        <w:tc>
          <w:tcPr>
            <w:tcW w:w="1282" w:type="pct"/>
            <w:tcBorders>
              <w:top w:val="nil"/>
              <w:left w:val="nil"/>
              <w:bottom w:val="single" w:sz="12" w:space="0" w:color="000000"/>
              <w:right w:val="nil"/>
            </w:tcBorders>
            <w:vAlign w:val="center"/>
          </w:tcPr>
          <w:p w:rsidR="00332EAD" w:rsidRPr="00A51B99" w:rsidRDefault="00332EAD" w:rsidP="000A5ED0">
            <w:pPr>
              <w:spacing w:line="276" w:lineRule="auto"/>
              <w:jc w:val="center"/>
              <w:rPr>
                <w:sz w:val="24"/>
              </w:rPr>
            </w:pPr>
            <w:r w:rsidRPr="00A51B99">
              <w:rPr>
                <w:sz w:val="24"/>
              </w:rPr>
              <w:t>47.38</w:t>
            </w:r>
            <w:r w:rsidRPr="00A51B99">
              <w:rPr>
                <w:sz w:val="24"/>
                <w:vertAlign w:val="superscript"/>
              </w:rPr>
              <w:t>A</w:t>
            </w:r>
          </w:p>
        </w:tc>
        <w:tc>
          <w:tcPr>
            <w:tcW w:w="1284" w:type="pct"/>
            <w:tcBorders>
              <w:top w:val="nil"/>
              <w:left w:val="nil"/>
              <w:bottom w:val="single" w:sz="12" w:space="0" w:color="000000"/>
              <w:right w:val="nil"/>
            </w:tcBorders>
            <w:vAlign w:val="center"/>
          </w:tcPr>
          <w:p w:rsidR="00332EAD" w:rsidRPr="00A51B99" w:rsidRDefault="00332EAD" w:rsidP="000A5ED0">
            <w:pPr>
              <w:spacing w:line="276" w:lineRule="auto"/>
              <w:jc w:val="center"/>
              <w:rPr>
                <w:sz w:val="24"/>
              </w:rPr>
            </w:pPr>
            <w:r w:rsidRPr="00A51B99">
              <w:rPr>
                <w:sz w:val="24"/>
              </w:rPr>
              <w:t>41.02</w:t>
            </w:r>
            <w:r w:rsidRPr="00A51B99">
              <w:rPr>
                <w:sz w:val="24"/>
                <w:vertAlign w:val="superscript"/>
              </w:rPr>
              <w:t>B</w:t>
            </w:r>
          </w:p>
        </w:tc>
        <w:tc>
          <w:tcPr>
            <w:tcW w:w="653" w:type="pct"/>
            <w:tcBorders>
              <w:top w:val="nil"/>
              <w:left w:val="nil"/>
              <w:bottom w:val="single" w:sz="12" w:space="0" w:color="000000"/>
              <w:right w:val="nil"/>
            </w:tcBorders>
            <w:vAlign w:val="center"/>
          </w:tcPr>
          <w:p w:rsidR="00332EAD" w:rsidRPr="00A51B99" w:rsidRDefault="00332EAD" w:rsidP="000A5ED0">
            <w:pPr>
              <w:spacing w:line="276" w:lineRule="auto"/>
              <w:jc w:val="center"/>
              <w:rPr>
                <w:sz w:val="24"/>
              </w:rPr>
            </w:pPr>
            <w:r w:rsidRPr="00A51B99">
              <w:rPr>
                <w:sz w:val="24"/>
              </w:rPr>
              <w:t>2.25</w:t>
            </w:r>
          </w:p>
        </w:tc>
        <w:tc>
          <w:tcPr>
            <w:tcW w:w="862" w:type="pct"/>
            <w:tcBorders>
              <w:top w:val="nil"/>
              <w:left w:val="nil"/>
              <w:bottom w:val="single" w:sz="12" w:space="0" w:color="000000"/>
              <w:right w:val="nil"/>
            </w:tcBorders>
            <w:vAlign w:val="center"/>
          </w:tcPr>
          <w:p w:rsidR="00332EAD" w:rsidRPr="00A51B99" w:rsidRDefault="00332EAD" w:rsidP="000A5ED0">
            <w:pPr>
              <w:spacing w:line="276" w:lineRule="auto"/>
              <w:jc w:val="center"/>
              <w:rPr>
                <w:sz w:val="24"/>
              </w:rPr>
            </w:pPr>
            <w:r w:rsidRPr="00A51B99">
              <w:rPr>
                <w:sz w:val="24"/>
              </w:rPr>
              <w:t>&lt;.0001</w:t>
            </w:r>
          </w:p>
        </w:tc>
      </w:tr>
    </w:tbl>
    <w:p w:rsidR="00332EAD" w:rsidRPr="00A51B99" w:rsidRDefault="00332EAD" w:rsidP="00332EAD">
      <w:pPr>
        <w:spacing w:line="276" w:lineRule="auto"/>
        <w:rPr>
          <w:sz w:val="24"/>
        </w:rPr>
      </w:pPr>
      <w:r w:rsidRPr="00A51B99">
        <w:rPr>
          <w:sz w:val="24"/>
          <w:vertAlign w:val="superscript"/>
        </w:rPr>
        <w:t>1</w:t>
      </w:r>
      <w:r w:rsidRPr="00A51B99">
        <w:rPr>
          <w:sz w:val="24"/>
        </w:rPr>
        <w:t>Cows were fed a basal diet supplemented with either alfalfa and corn silage(MF) or corn straw(CS) as forage source.</w:t>
      </w:r>
    </w:p>
    <w:p w:rsidR="00332EAD" w:rsidRPr="00A51B99" w:rsidRDefault="00332EAD" w:rsidP="00332EAD">
      <w:pPr>
        <w:spacing w:line="276" w:lineRule="auto"/>
        <w:rPr>
          <w:sz w:val="24"/>
        </w:rPr>
      </w:pPr>
      <w:r w:rsidRPr="00A51B99">
        <w:rPr>
          <w:sz w:val="24"/>
          <w:vertAlign w:val="superscript"/>
        </w:rPr>
        <w:t>2</w:t>
      </w:r>
      <w:r w:rsidRPr="00A51B99">
        <w:rPr>
          <w:sz w:val="24"/>
        </w:rPr>
        <w:t>Expressed as different kinds of fatty acid: SFA= Saturated fatty acid; UFA=Unsaturated fatty acid; MUFA=monounsaturated fatty acid; PUFA=polyunsaturated fatty acid; LCFA= Long chain fatty acid; SMCFA=short and medium chain fatty acid.</w:t>
      </w:r>
    </w:p>
    <w:p w:rsidR="00332EAD" w:rsidRPr="00A51B99" w:rsidRDefault="00332EAD" w:rsidP="00332EAD">
      <w:pPr>
        <w:spacing w:line="276" w:lineRule="auto"/>
        <w:rPr>
          <w:sz w:val="24"/>
        </w:rPr>
      </w:pPr>
      <w:r w:rsidRPr="00A51B99">
        <w:rPr>
          <w:sz w:val="24"/>
          <w:vertAlign w:val="superscript"/>
        </w:rPr>
        <w:t>3</w:t>
      </w:r>
      <w:r w:rsidRPr="00A51B99">
        <w:rPr>
          <w:sz w:val="24"/>
        </w:rPr>
        <w:t>SEM=Standard error of least squares of means.</w:t>
      </w:r>
    </w:p>
    <w:p w:rsidR="00332EAD" w:rsidRPr="00A51B99" w:rsidRDefault="00332EAD" w:rsidP="00332EAD">
      <w:pPr>
        <w:spacing w:line="276" w:lineRule="auto"/>
        <w:rPr>
          <w:sz w:val="24"/>
        </w:rPr>
      </w:pPr>
      <w:r w:rsidRPr="00A51B99">
        <w:rPr>
          <w:sz w:val="24"/>
          <w:vertAlign w:val="superscript"/>
        </w:rPr>
        <w:t>A.B</w:t>
      </w:r>
      <w:r w:rsidRPr="00A51B99">
        <w:rPr>
          <w:sz w:val="24"/>
        </w:rPr>
        <w:t xml:space="preserve">Expressed as significant level, </w:t>
      </w:r>
      <w:r w:rsidRPr="00A51B99">
        <w:rPr>
          <w:i/>
          <w:sz w:val="24"/>
        </w:rPr>
        <w:t>P&lt;0.01.</w:t>
      </w:r>
    </w:p>
    <w:p w:rsidR="00332EAD" w:rsidRPr="00A51B99" w:rsidRDefault="00332EAD" w:rsidP="00332EAD">
      <w:pPr>
        <w:spacing w:beforeLines="50" w:afterLines="50" w:line="276" w:lineRule="auto"/>
        <w:outlineLvl w:val="0"/>
        <w:rPr>
          <w:b/>
          <w:sz w:val="24"/>
        </w:rPr>
      </w:pPr>
      <w:r w:rsidRPr="00A51B99">
        <w:rPr>
          <w:b/>
          <w:sz w:val="24"/>
        </w:rPr>
        <w:t>Conclusions</w:t>
      </w:r>
    </w:p>
    <w:p w:rsidR="00332EAD" w:rsidRPr="00A51B99" w:rsidRDefault="00332EAD" w:rsidP="00332EAD">
      <w:pPr>
        <w:spacing w:line="276" w:lineRule="auto"/>
        <w:rPr>
          <w:sz w:val="24"/>
        </w:rPr>
      </w:pPr>
      <w:r w:rsidRPr="00A51B99">
        <w:rPr>
          <w:sz w:val="24"/>
        </w:rPr>
        <w:t>Forage sources had significant effect on milk fatty acid profile. The diet with corn straw as forage source could significantly increase UFA and LCFA proportion in milk.The high proportions of UFA and LCFA may be due to low milk yield .</w:t>
      </w:r>
    </w:p>
    <w:p w:rsidR="00332EAD" w:rsidRPr="00A51B99" w:rsidRDefault="00332EAD" w:rsidP="00332EAD">
      <w:pPr>
        <w:spacing w:beforeLines="50" w:afterLines="50" w:line="276" w:lineRule="auto"/>
        <w:outlineLvl w:val="0"/>
        <w:rPr>
          <w:b/>
          <w:sz w:val="24"/>
        </w:rPr>
      </w:pPr>
      <w:r w:rsidRPr="00A51B99">
        <w:rPr>
          <w:b/>
          <w:sz w:val="24"/>
        </w:rPr>
        <w:t>References</w:t>
      </w:r>
    </w:p>
    <w:p w:rsidR="00332EAD" w:rsidRPr="00A51B99" w:rsidRDefault="00332EAD" w:rsidP="00332EAD">
      <w:pPr>
        <w:autoSpaceDE w:val="0"/>
        <w:autoSpaceDN w:val="0"/>
        <w:adjustRightInd w:val="0"/>
        <w:spacing w:line="276" w:lineRule="auto"/>
        <w:ind w:left="480" w:hangingChars="200" w:hanging="480"/>
        <w:jc w:val="left"/>
        <w:rPr>
          <w:sz w:val="24"/>
        </w:rPr>
      </w:pPr>
      <w:r w:rsidRPr="00A51B99">
        <w:rPr>
          <w:sz w:val="24"/>
        </w:rPr>
        <w:t>Bauman, D. E., and A. L. Lock. 2010. Milk fatty acid composition:Challenges and opportunities related to human health.26th World Buiatrics Congr., 278–289.</w:t>
      </w:r>
    </w:p>
    <w:p w:rsidR="00332EAD" w:rsidRPr="00A51B99" w:rsidRDefault="00332EAD" w:rsidP="00332EAD">
      <w:pPr>
        <w:autoSpaceDE w:val="0"/>
        <w:autoSpaceDN w:val="0"/>
        <w:adjustRightInd w:val="0"/>
        <w:spacing w:line="276" w:lineRule="auto"/>
        <w:ind w:left="480" w:hangingChars="200" w:hanging="480"/>
        <w:jc w:val="left"/>
        <w:rPr>
          <w:sz w:val="24"/>
        </w:rPr>
      </w:pPr>
      <w:r w:rsidRPr="00A51B99">
        <w:rPr>
          <w:sz w:val="24"/>
        </w:rPr>
        <w:t xml:space="preserve">Elwood, P. C., J. E. Pickering, D. I. Givens, and J. E. Gallacher.2010. The consumption of milk and dairy foods and the incidence ofvascular disease and diabetes: An overview of the evidence. Lipids.45:925–939. </w:t>
      </w:r>
    </w:p>
    <w:p w:rsidR="00332EAD" w:rsidRPr="00A51B99" w:rsidRDefault="00332EAD" w:rsidP="00332EAD">
      <w:pPr>
        <w:spacing w:line="276" w:lineRule="auto"/>
        <w:ind w:left="480" w:hangingChars="200" w:hanging="480"/>
        <w:rPr>
          <w:sz w:val="24"/>
        </w:rPr>
      </w:pPr>
      <w:r w:rsidRPr="00A51B99">
        <w:rPr>
          <w:sz w:val="24"/>
        </w:rPr>
        <w:t>Benchaar C, Petit HV, Berthiaume R, Ouellet DR, Chiquette J, Chouinard PY. 2007. Effects of essential oils on digestion, ruminal fermentation, rumen microbial populations, milk production, and milk composition in dairy cows fed alfalfa silage or corn silage. J. Dairy Sci. 90:886–897.</w:t>
      </w:r>
    </w:p>
    <w:p w:rsidR="00332EAD" w:rsidRPr="00A51B99" w:rsidRDefault="00332EAD" w:rsidP="00332EAD">
      <w:pPr>
        <w:spacing w:line="276" w:lineRule="auto"/>
        <w:ind w:left="480" w:hangingChars="200" w:hanging="480"/>
        <w:rPr>
          <w:sz w:val="24"/>
        </w:rPr>
      </w:pPr>
      <w:r w:rsidRPr="00A51B99">
        <w:rPr>
          <w:sz w:val="24"/>
        </w:rPr>
        <w:t>KJ Shingfield, CK Reynolds, B Lupoli, V Toivonen. 2005. Effect of forage type and proportion of concentrate in the diet on milk fatty acid composition in cows given sunflower oil and fish oil. Anim Sci. 80:225–238.</w:t>
      </w:r>
    </w:p>
    <w:p w:rsidR="00332EAD" w:rsidRPr="00A51B99" w:rsidRDefault="00332EAD" w:rsidP="00332EAD">
      <w:pPr>
        <w:spacing w:line="276" w:lineRule="auto"/>
        <w:ind w:left="480" w:hangingChars="200" w:hanging="480"/>
        <w:jc w:val="left"/>
        <w:rPr>
          <w:sz w:val="24"/>
        </w:rPr>
      </w:pPr>
      <w:r w:rsidRPr="00A51B99">
        <w:rPr>
          <w:sz w:val="24"/>
        </w:rPr>
        <w:lastRenderedPageBreak/>
        <w:t>Khorasani, G. R., Okine, E. K., Kennelly, J. J. 2001. Effeets of forage source and amount of coneentrate on rumen and intestinal digestion of nutrientsin late-lactation cow. J Dairy Sci. 184: 1156-1165.</w:t>
      </w:r>
    </w:p>
    <w:p w:rsidR="00332EAD" w:rsidRPr="00A51B99" w:rsidRDefault="00332EAD" w:rsidP="00332EAD">
      <w:pPr>
        <w:spacing w:line="276" w:lineRule="auto"/>
        <w:ind w:left="480" w:hangingChars="200" w:hanging="480"/>
        <w:rPr>
          <w:b/>
          <w:bCs/>
          <w:color w:val="000000"/>
          <w:kern w:val="0"/>
          <w:sz w:val="24"/>
        </w:rPr>
      </w:pPr>
      <w:r w:rsidRPr="00A51B99">
        <w:rPr>
          <w:noProof/>
          <w:sz w:val="24"/>
        </w:rPr>
        <w:t xml:space="preserve">Khas-Erdene, Wang J Q, Bu D P, Wang L, Drackley J K, Liu Q S, Yang G, Wei H Y, and Zhou L Y. 2010. Short communication: Responses to increasing amounts of free alpha-linolenic acid infused into the duodenum of lactating dairy cows. </w:t>
      </w:r>
      <w:r w:rsidRPr="00A51B99">
        <w:rPr>
          <w:sz w:val="24"/>
        </w:rPr>
        <w:t>J Dairy Sci.</w:t>
      </w:r>
      <w:r w:rsidRPr="00A51B99">
        <w:rPr>
          <w:noProof/>
          <w:sz w:val="24"/>
        </w:rPr>
        <w:t xml:space="preserve"> 93(4):1677-1684.</w:t>
      </w:r>
    </w:p>
    <w:p w:rsidR="00174F0C" w:rsidRDefault="00306A89" w:rsidP="00332EAD"/>
    <w:sectPr w:rsidR="00174F0C" w:rsidSect="00700B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mputerModern-Regular">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2EAD"/>
    <w:rsid w:val="002251AF"/>
    <w:rsid w:val="00306A89"/>
    <w:rsid w:val="00332EAD"/>
    <w:rsid w:val="0035343A"/>
    <w:rsid w:val="005C5828"/>
    <w:rsid w:val="006A7D2E"/>
    <w:rsid w:val="00700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AD"/>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5C5828"/>
    <w:pPr>
      <w:keepNext/>
      <w:keepLines/>
      <w:spacing w:line="480" w:lineRule="auto"/>
      <w:outlineLvl w:val="0"/>
    </w:pPr>
    <w:rPr>
      <w:rFonts w:eastAsiaTheme="minorEastAsia" w:cstheme="minorBidi"/>
      <w:b/>
      <w:kern w:val="4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C5828"/>
    <w:rPr>
      <w:rFonts w:ascii="Times New Roman" w:hAnsi="Times New Roman"/>
      <w:b/>
      <w:kern w:val="44"/>
      <w:sz w:val="24"/>
      <w:szCs w:val="24"/>
    </w:rPr>
  </w:style>
  <w:style w:type="character" w:styleId="a3">
    <w:name w:val="Hyperlink"/>
    <w:rsid w:val="00332EAD"/>
    <w:rPr>
      <w:color w:val="0000FF"/>
      <w:u w:val="single"/>
    </w:rPr>
  </w:style>
  <w:style w:type="paragraph" w:customStyle="1" w:styleId="Default">
    <w:name w:val="Default"/>
    <w:rsid w:val="00332EAD"/>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ng-jia-qi@263.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1118</Words>
  <Characters>6378</Characters>
  <Application>Microsoft Office Word</Application>
  <DocSecurity>0</DocSecurity>
  <Lines>53</Lines>
  <Paragraphs>14</Paragraphs>
  <ScaleCrop>false</ScaleCrop>
  <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2019-03-11T08:06:00Z</dcterms:created>
  <dcterms:modified xsi:type="dcterms:W3CDTF">2019-03-11T08:11:00Z</dcterms:modified>
</cp:coreProperties>
</file>